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34" w:rsidRPr="00C25D3B" w:rsidRDefault="00E67134" w:rsidP="00E67134">
      <w:pPr>
        <w:pStyle w:val="Default"/>
        <w:jc w:val="right"/>
        <w:rPr>
          <w:rFonts w:ascii="Calibri" w:hAnsi="Calibri" w:cs="Calibri"/>
          <w:b/>
          <w:sz w:val="22"/>
          <w:szCs w:val="22"/>
        </w:rPr>
      </w:pPr>
      <w:bookmarkStart w:id="0" w:name="_GoBack"/>
      <w:bookmarkEnd w:id="0"/>
    </w:p>
    <w:p w:rsidR="00E67134" w:rsidRPr="00C25D3B" w:rsidRDefault="00E67134" w:rsidP="00E67134">
      <w:pPr>
        <w:pStyle w:val="Default"/>
        <w:rPr>
          <w:rFonts w:ascii="Calibri" w:hAnsi="Calibri" w:cs="Calibri"/>
          <w:b/>
          <w:sz w:val="22"/>
          <w:szCs w:val="22"/>
        </w:rPr>
      </w:pPr>
    </w:p>
    <w:p w:rsidR="00E67134" w:rsidRPr="00C25D3B" w:rsidRDefault="00E67134" w:rsidP="00E67134">
      <w:pPr>
        <w:pStyle w:val="Default"/>
        <w:rPr>
          <w:rFonts w:ascii="Calibri" w:hAnsi="Calibri" w:cs="Calibri"/>
          <w:b/>
          <w:sz w:val="22"/>
          <w:szCs w:val="22"/>
        </w:rPr>
      </w:pPr>
    </w:p>
    <w:p w:rsidR="00E67134" w:rsidRPr="00C25D3B" w:rsidRDefault="00E67134" w:rsidP="00E67134">
      <w:pPr>
        <w:pStyle w:val="Default"/>
        <w:rPr>
          <w:rFonts w:ascii="Calibri" w:hAnsi="Calibri" w:cs="Calibri"/>
          <w:b/>
          <w:sz w:val="22"/>
          <w:szCs w:val="22"/>
        </w:rPr>
      </w:pPr>
    </w:p>
    <w:p w:rsidR="00E67134" w:rsidRPr="00C25D3B" w:rsidRDefault="00E67134" w:rsidP="00E67134">
      <w:pPr>
        <w:pStyle w:val="Default"/>
        <w:rPr>
          <w:rFonts w:ascii="Calibri" w:hAnsi="Calibri" w:cs="Calibri"/>
          <w:b/>
          <w:sz w:val="22"/>
          <w:szCs w:val="22"/>
        </w:rPr>
      </w:pPr>
    </w:p>
    <w:p w:rsidR="00E67134" w:rsidRDefault="00E67134" w:rsidP="00E67134">
      <w:pPr>
        <w:pStyle w:val="Default"/>
        <w:jc w:val="center"/>
        <w:rPr>
          <w:rFonts w:ascii="Calibri" w:hAnsi="Calibri" w:cs="Calibri"/>
          <w:b/>
          <w:color w:val="C00000"/>
          <w:sz w:val="36"/>
          <w:szCs w:val="36"/>
        </w:rPr>
      </w:pPr>
      <w:r w:rsidRPr="00C25D3B">
        <w:rPr>
          <w:rFonts w:ascii="Calibri" w:hAnsi="Calibri" w:cs="Calibri"/>
          <w:b/>
          <w:color w:val="C00000"/>
          <w:sz w:val="36"/>
          <w:szCs w:val="36"/>
        </w:rPr>
        <w:t>ONDERZOEK KOSTENDEKKENDHEID LEGES</w:t>
      </w:r>
    </w:p>
    <w:p w:rsidR="00B20B43" w:rsidRDefault="00B20B43" w:rsidP="00E67134">
      <w:pPr>
        <w:pStyle w:val="Default"/>
        <w:jc w:val="center"/>
        <w:rPr>
          <w:rFonts w:ascii="Calibri" w:hAnsi="Calibri" w:cs="Calibri"/>
          <w:b/>
          <w:color w:val="C00000"/>
          <w:sz w:val="36"/>
          <w:szCs w:val="36"/>
        </w:rPr>
      </w:pPr>
    </w:p>
    <w:p w:rsidR="00B20B43" w:rsidRPr="00C25D3B" w:rsidRDefault="00B20B43" w:rsidP="00E67134">
      <w:pPr>
        <w:pStyle w:val="Default"/>
        <w:jc w:val="center"/>
        <w:rPr>
          <w:rFonts w:ascii="Calibri" w:hAnsi="Calibri" w:cs="Calibri"/>
          <w:b/>
          <w:color w:val="C00000"/>
          <w:sz w:val="36"/>
          <w:szCs w:val="36"/>
        </w:rPr>
      </w:pPr>
      <w:r>
        <w:rPr>
          <w:rFonts w:ascii="Calibri" w:hAnsi="Calibri" w:cs="Calibri"/>
          <w:b/>
          <w:color w:val="C00000"/>
          <w:sz w:val="36"/>
          <w:szCs w:val="36"/>
        </w:rPr>
        <w:t>Jaarrekening 2018</w:t>
      </w:r>
    </w:p>
    <w:p w:rsidR="007E4870" w:rsidRPr="00C25D3B" w:rsidRDefault="007E4870" w:rsidP="007E4870">
      <w:pPr>
        <w:pStyle w:val="Default"/>
        <w:rPr>
          <w:rFonts w:ascii="Calibri" w:hAnsi="Calibri" w:cs="Calibri"/>
          <w:b/>
          <w:sz w:val="22"/>
          <w:szCs w:val="22"/>
        </w:rPr>
      </w:pPr>
    </w:p>
    <w:p w:rsidR="00E67134" w:rsidRPr="00C25D3B" w:rsidRDefault="00B20B43" w:rsidP="00B20B43">
      <w:pPr>
        <w:pStyle w:val="Default"/>
        <w:jc w:val="center"/>
        <w:rPr>
          <w:rFonts w:ascii="Calibri" w:hAnsi="Calibri" w:cs="Calibri"/>
          <w:b/>
          <w:sz w:val="22"/>
          <w:szCs w:val="22"/>
        </w:rPr>
      </w:pPr>
      <w:r>
        <w:rPr>
          <w:rFonts w:ascii="Calibri" w:hAnsi="Calibri" w:cs="Calibri"/>
          <w:b/>
          <w:sz w:val="22"/>
          <w:szCs w:val="22"/>
        </w:rPr>
        <w:t>Gemeente Uden</w:t>
      </w:r>
    </w:p>
    <w:p w:rsidR="00E67134" w:rsidRPr="00C25D3B" w:rsidRDefault="00E67134" w:rsidP="00E67134">
      <w:pPr>
        <w:pStyle w:val="Default"/>
        <w:rPr>
          <w:rFonts w:ascii="Calibri" w:hAnsi="Calibri" w:cs="Calibri"/>
          <w:b/>
          <w:sz w:val="22"/>
          <w:szCs w:val="22"/>
        </w:rPr>
      </w:pPr>
    </w:p>
    <w:p w:rsidR="00E67134" w:rsidRPr="00C25D3B" w:rsidRDefault="00E67134" w:rsidP="00C4432E">
      <w:pPr>
        <w:pStyle w:val="Default"/>
        <w:jc w:val="center"/>
        <w:rPr>
          <w:rFonts w:ascii="Calibri" w:hAnsi="Calibri" w:cs="Calibri"/>
          <w:b/>
          <w:sz w:val="22"/>
          <w:szCs w:val="22"/>
        </w:rPr>
      </w:pPr>
    </w:p>
    <w:p w:rsidR="006863C5" w:rsidRPr="00C25D3B" w:rsidRDefault="006863C5" w:rsidP="006863C5">
      <w:pPr>
        <w:pStyle w:val="Kop1"/>
        <w:spacing w:line="360" w:lineRule="auto"/>
        <w:rPr>
          <w:rFonts w:ascii="Calibri" w:hAnsi="Calibri" w:cs="Calibri"/>
          <w:color w:val="C00000"/>
          <w:sz w:val="22"/>
          <w:szCs w:val="22"/>
        </w:rPr>
      </w:pPr>
      <w:bookmarkStart w:id="1" w:name="_Toc332973635"/>
      <w:bookmarkStart w:id="2" w:name="_Toc332973724"/>
      <w:bookmarkStart w:id="3" w:name="_Toc332973750"/>
      <w:bookmarkStart w:id="4" w:name="_Toc332973852"/>
      <w:bookmarkStart w:id="5" w:name="_Toc332973899"/>
      <w:bookmarkStart w:id="6" w:name="_Toc332973959"/>
      <w:bookmarkStart w:id="7" w:name="_Toc488654350"/>
      <w:bookmarkStart w:id="8" w:name="_Toc490832314"/>
      <w:r w:rsidRPr="00C25D3B">
        <w:rPr>
          <w:rFonts w:ascii="Calibri" w:hAnsi="Calibri" w:cs="Calibri"/>
          <w:color w:val="C00000"/>
          <w:sz w:val="22"/>
          <w:szCs w:val="22"/>
        </w:rPr>
        <w:t>Inleiding</w:t>
      </w:r>
      <w:bookmarkEnd w:id="1"/>
      <w:bookmarkEnd w:id="2"/>
      <w:bookmarkEnd w:id="3"/>
      <w:bookmarkEnd w:id="4"/>
      <w:bookmarkEnd w:id="5"/>
      <w:bookmarkEnd w:id="6"/>
      <w:bookmarkEnd w:id="7"/>
      <w:bookmarkEnd w:id="8"/>
    </w:p>
    <w:p w:rsidR="006863C5" w:rsidRPr="00F37AC5" w:rsidRDefault="006863C5" w:rsidP="006863C5">
      <w:pPr>
        <w:spacing w:line="360" w:lineRule="auto"/>
        <w:rPr>
          <w:rFonts w:ascii="Calibri" w:hAnsi="Calibri" w:cs="Calibri"/>
          <w:sz w:val="22"/>
          <w:szCs w:val="22"/>
        </w:rPr>
      </w:pPr>
      <w:r w:rsidRPr="00C25D3B">
        <w:rPr>
          <w:rFonts w:ascii="Calibri" w:hAnsi="Calibri" w:cs="Calibri"/>
          <w:sz w:val="22"/>
          <w:szCs w:val="22"/>
        </w:rPr>
        <w:t xml:space="preserve">Voor u ligt een rapportage over de kostendekkendheid van leges van gemeente </w:t>
      </w:r>
      <w:r w:rsidR="00B20B43">
        <w:rPr>
          <w:rFonts w:ascii="Calibri" w:hAnsi="Calibri" w:cs="Calibri"/>
          <w:b/>
          <w:sz w:val="22"/>
          <w:szCs w:val="22"/>
        </w:rPr>
        <w:t>Uden.</w:t>
      </w:r>
      <w:r w:rsidRPr="00C25D3B">
        <w:rPr>
          <w:rFonts w:ascii="Calibri" w:hAnsi="Calibri" w:cs="Calibri"/>
          <w:sz w:val="22"/>
          <w:szCs w:val="22"/>
        </w:rPr>
        <w:t xml:space="preserve"> In deze rapportage vindt u de nadere uitwerking van het onderzoek naar de kostendekkendheid van leges</w:t>
      </w:r>
      <w:r w:rsidR="00B20B43">
        <w:rPr>
          <w:rFonts w:ascii="Calibri" w:hAnsi="Calibri" w:cs="Calibri"/>
          <w:sz w:val="22"/>
          <w:szCs w:val="22"/>
        </w:rPr>
        <w:t xml:space="preserve"> ten behoeve van de Jaarrekening 2018</w:t>
      </w:r>
      <w:r>
        <w:rPr>
          <w:rFonts w:ascii="Calibri" w:hAnsi="Calibri" w:cs="Calibri"/>
          <w:sz w:val="22"/>
          <w:szCs w:val="22"/>
        </w:rPr>
        <w:t xml:space="preserve">.  </w:t>
      </w:r>
    </w:p>
    <w:p w:rsidR="006863C5" w:rsidRPr="00C25D3B" w:rsidRDefault="006863C5" w:rsidP="006863C5">
      <w:pPr>
        <w:spacing w:line="360" w:lineRule="auto"/>
        <w:rPr>
          <w:rFonts w:ascii="Calibri" w:hAnsi="Calibri" w:cs="Calibri"/>
          <w:sz w:val="22"/>
          <w:szCs w:val="22"/>
        </w:rPr>
      </w:pPr>
    </w:p>
    <w:p w:rsidR="006863C5" w:rsidRPr="00F37AC5" w:rsidRDefault="006863C5" w:rsidP="006863C5">
      <w:pPr>
        <w:spacing w:line="360" w:lineRule="auto"/>
        <w:rPr>
          <w:rFonts w:ascii="Calibri" w:hAnsi="Calibri"/>
          <w:sz w:val="22"/>
          <w:szCs w:val="22"/>
        </w:rPr>
      </w:pPr>
      <w:r w:rsidRPr="00C25D3B">
        <w:rPr>
          <w:rFonts w:ascii="Calibri" w:hAnsi="Calibri" w:cs="Calibri"/>
          <w:sz w:val="22"/>
          <w:szCs w:val="22"/>
        </w:rPr>
        <w:t xml:space="preserve">Jaarlijks ontvangt u bij de </w:t>
      </w:r>
      <w:r w:rsidR="00B20B43">
        <w:rPr>
          <w:rFonts w:ascii="Calibri" w:hAnsi="Calibri" w:cs="Calibri"/>
          <w:sz w:val="22"/>
          <w:szCs w:val="22"/>
        </w:rPr>
        <w:t xml:space="preserve">jaarrekening </w:t>
      </w:r>
      <w:r w:rsidRPr="00C25D3B">
        <w:rPr>
          <w:rFonts w:ascii="Calibri" w:hAnsi="Calibri" w:cs="Calibri"/>
          <w:sz w:val="22"/>
          <w:szCs w:val="22"/>
        </w:rPr>
        <w:t>deze rapportage waarmee inzicht wordt gegeven in de mate van de kostendekkendheid van de leges</w:t>
      </w:r>
      <w:r w:rsidR="00B20B43">
        <w:rPr>
          <w:rFonts w:ascii="Calibri" w:hAnsi="Calibri" w:cs="Calibri"/>
          <w:sz w:val="22"/>
          <w:szCs w:val="22"/>
        </w:rPr>
        <w:t xml:space="preserve"> op basis van de werkelijke resultaten van het betreffende verantwoordingsjaar</w:t>
      </w:r>
      <w:r w:rsidRPr="00C25D3B">
        <w:rPr>
          <w:rFonts w:ascii="Calibri" w:hAnsi="Calibri" w:cs="Calibri"/>
          <w:sz w:val="22"/>
          <w:szCs w:val="22"/>
        </w:rPr>
        <w:t xml:space="preserve">. </w:t>
      </w:r>
      <w:r w:rsidRPr="00F37AC5">
        <w:rPr>
          <w:rFonts w:ascii="Calibri" w:hAnsi="Calibri"/>
          <w:sz w:val="22"/>
          <w:szCs w:val="22"/>
        </w:rPr>
        <w:t xml:space="preserve">Door de wijziging van het BBV zijn vanaf de begroting 2017 nieuwe begrotingsregels van kracht. De nieuwe regels hebben  invloed op de kostenonderbouwing van gemeentelijke heffingen.  Zo is verplicht om in de paragraaf lokale heffingen van de begroting </w:t>
      </w:r>
      <w:r w:rsidR="00B20B43">
        <w:rPr>
          <w:rFonts w:ascii="Calibri" w:hAnsi="Calibri"/>
          <w:sz w:val="22"/>
          <w:szCs w:val="22"/>
        </w:rPr>
        <w:t xml:space="preserve">en de jaarrekening </w:t>
      </w:r>
      <w:r w:rsidRPr="00F37AC5">
        <w:rPr>
          <w:rFonts w:ascii="Calibri" w:hAnsi="Calibri"/>
          <w:sz w:val="22"/>
          <w:szCs w:val="22"/>
        </w:rPr>
        <w:t xml:space="preserve">een uitsplitsing weer te geven tussen de directe kosten van het betreffende beleidsprogramma en de overhead. </w:t>
      </w:r>
    </w:p>
    <w:p w:rsidR="00B20B43" w:rsidRDefault="00B20B43" w:rsidP="006863C5">
      <w:pPr>
        <w:spacing w:line="360" w:lineRule="auto"/>
        <w:rPr>
          <w:rFonts w:ascii="Calibri" w:hAnsi="Calibri" w:cs="Calibri"/>
          <w:sz w:val="22"/>
          <w:szCs w:val="22"/>
        </w:rPr>
      </w:pPr>
    </w:p>
    <w:p w:rsidR="006863C5" w:rsidRPr="00C25D3B" w:rsidRDefault="006863C5" w:rsidP="006863C5">
      <w:pPr>
        <w:spacing w:line="360" w:lineRule="auto"/>
        <w:rPr>
          <w:rFonts w:ascii="Calibri" w:hAnsi="Calibri" w:cs="Calibri"/>
          <w:sz w:val="22"/>
          <w:szCs w:val="22"/>
        </w:rPr>
      </w:pPr>
      <w:r w:rsidRPr="00C25D3B">
        <w:rPr>
          <w:rFonts w:ascii="Calibri" w:hAnsi="Calibri" w:cs="Calibri"/>
          <w:sz w:val="22"/>
          <w:szCs w:val="22"/>
        </w:rPr>
        <w:t xml:space="preserve">We doen dit met als doel een hogere kwaliteit van de legesproducten (snellere dienstverlening), meer transparantie en tegen lagere kosten. </w:t>
      </w:r>
    </w:p>
    <w:p w:rsidR="006863C5" w:rsidRPr="00C25D3B" w:rsidRDefault="006863C5" w:rsidP="006863C5">
      <w:pPr>
        <w:spacing w:line="360" w:lineRule="auto"/>
        <w:rPr>
          <w:rFonts w:ascii="Calibri" w:hAnsi="Calibri" w:cs="Calibri"/>
          <w:sz w:val="22"/>
          <w:szCs w:val="22"/>
        </w:rPr>
      </w:pPr>
    </w:p>
    <w:p w:rsidR="006863C5" w:rsidRPr="00C25D3B" w:rsidRDefault="006863C5" w:rsidP="006863C5">
      <w:pPr>
        <w:spacing w:line="360" w:lineRule="auto"/>
        <w:rPr>
          <w:rFonts w:ascii="Calibri" w:hAnsi="Calibri" w:cs="Calibri"/>
          <w:sz w:val="22"/>
          <w:szCs w:val="22"/>
        </w:rPr>
      </w:pPr>
      <w:r w:rsidRPr="00C25D3B">
        <w:rPr>
          <w:rFonts w:ascii="Calibri" w:hAnsi="Calibri" w:cs="Calibri"/>
          <w:sz w:val="22"/>
          <w:szCs w:val="22"/>
        </w:rPr>
        <w:t>Het doel van het onderzoek was:</w:t>
      </w:r>
    </w:p>
    <w:p w:rsidR="006863C5" w:rsidRPr="00C25D3B" w:rsidRDefault="00B20B43" w:rsidP="006863C5">
      <w:pPr>
        <w:numPr>
          <w:ilvl w:val="0"/>
          <w:numId w:val="6"/>
        </w:numPr>
        <w:spacing w:line="360" w:lineRule="auto"/>
        <w:rPr>
          <w:rFonts w:ascii="Calibri" w:hAnsi="Calibri" w:cs="Calibri"/>
          <w:sz w:val="22"/>
          <w:szCs w:val="22"/>
        </w:rPr>
      </w:pPr>
      <w:r>
        <w:rPr>
          <w:rFonts w:ascii="Calibri" w:hAnsi="Calibri" w:cs="Calibri"/>
          <w:sz w:val="22"/>
          <w:szCs w:val="22"/>
        </w:rPr>
        <w:t xml:space="preserve">te controleren of nog steeds wordt voldaan aan </w:t>
      </w:r>
      <w:r w:rsidR="006863C5" w:rsidRPr="00C25D3B">
        <w:rPr>
          <w:rFonts w:ascii="Calibri" w:hAnsi="Calibri" w:cs="Calibri"/>
          <w:sz w:val="22"/>
          <w:szCs w:val="22"/>
        </w:rPr>
        <w:t>de wettelijke eisen van m</w:t>
      </w:r>
      <w:r>
        <w:rPr>
          <w:rFonts w:ascii="Calibri" w:hAnsi="Calibri" w:cs="Calibri"/>
          <w:sz w:val="22"/>
          <w:szCs w:val="22"/>
        </w:rPr>
        <w:t>aximaal 100% kostendekkendheid op basis van de werkelijke aantallen en resultaten van 2018</w:t>
      </w:r>
    </w:p>
    <w:p w:rsidR="006863C5" w:rsidRPr="00B20B43" w:rsidRDefault="00B20B43" w:rsidP="006863C5">
      <w:pPr>
        <w:numPr>
          <w:ilvl w:val="0"/>
          <w:numId w:val="6"/>
        </w:numPr>
        <w:spacing w:line="360" w:lineRule="auto"/>
        <w:rPr>
          <w:rFonts w:ascii="Calibri" w:hAnsi="Calibri" w:cs="Calibri"/>
          <w:sz w:val="22"/>
          <w:szCs w:val="22"/>
        </w:rPr>
      </w:pPr>
      <w:r>
        <w:rPr>
          <w:rFonts w:ascii="Calibri" w:hAnsi="Calibri" w:cs="Calibri"/>
          <w:sz w:val="22"/>
          <w:szCs w:val="22"/>
        </w:rPr>
        <w:t xml:space="preserve">waar noodzakelijk </w:t>
      </w:r>
      <w:r w:rsidR="006863C5" w:rsidRPr="00B20B43">
        <w:rPr>
          <w:rFonts w:ascii="Calibri" w:hAnsi="Calibri" w:cs="Calibri"/>
          <w:sz w:val="22"/>
          <w:szCs w:val="22"/>
        </w:rPr>
        <w:t xml:space="preserve">aanbevelingen te geven </w:t>
      </w:r>
      <w:r w:rsidRPr="00B20B43">
        <w:rPr>
          <w:rFonts w:ascii="Calibri" w:hAnsi="Calibri" w:cs="Calibri"/>
          <w:sz w:val="22"/>
          <w:szCs w:val="22"/>
        </w:rPr>
        <w:t xml:space="preserve">t.a.v. de Begroting en/of  Tarievenstelling </w:t>
      </w:r>
    </w:p>
    <w:p w:rsidR="00C37A26" w:rsidRPr="00C25D3B" w:rsidRDefault="00C37A26" w:rsidP="00AD500B">
      <w:pPr>
        <w:spacing w:line="360" w:lineRule="auto"/>
        <w:rPr>
          <w:rFonts w:ascii="Calibri" w:hAnsi="Calibri" w:cs="Calibri"/>
          <w:sz w:val="22"/>
          <w:szCs w:val="22"/>
        </w:rPr>
      </w:pPr>
    </w:p>
    <w:p w:rsidR="00C869CC" w:rsidRPr="00C869CC" w:rsidRDefault="00CF3C20" w:rsidP="00C869CC">
      <w:pPr>
        <w:pStyle w:val="Kop1"/>
        <w:numPr>
          <w:ilvl w:val="0"/>
          <w:numId w:val="16"/>
        </w:numPr>
        <w:rPr>
          <w:rFonts w:ascii="Calibri" w:hAnsi="Calibri"/>
          <w:sz w:val="24"/>
          <w:szCs w:val="24"/>
        </w:rPr>
      </w:pPr>
      <w:bookmarkStart w:id="9" w:name="_Toc332973900"/>
      <w:bookmarkStart w:id="10" w:name="_Toc332973960"/>
      <w:r w:rsidRPr="00E30013">
        <w:rPr>
          <w:sz w:val="22"/>
          <w:szCs w:val="22"/>
        </w:rPr>
        <w:br w:type="page"/>
      </w:r>
      <w:bookmarkStart w:id="11" w:name="_Toc332973642"/>
      <w:bookmarkStart w:id="12" w:name="_Toc332973731"/>
      <w:bookmarkStart w:id="13" w:name="_Toc332973757"/>
      <w:bookmarkStart w:id="14" w:name="_Toc332973859"/>
      <w:bookmarkStart w:id="15" w:name="_Toc332973907"/>
      <w:bookmarkStart w:id="16" w:name="_Toc332973965"/>
      <w:bookmarkStart w:id="17" w:name="_Toc490832321"/>
      <w:bookmarkEnd w:id="9"/>
      <w:bookmarkEnd w:id="10"/>
      <w:r w:rsidR="00C869CC" w:rsidRPr="00C869CC">
        <w:rPr>
          <w:rFonts w:ascii="Calibri" w:hAnsi="Calibri"/>
          <w:sz w:val="24"/>
          <w:szCs w:val="24"/>
        </w:rPr>
        <w:lastRenderedPageBreak/>
        <w:t>Werkelijke opbrengsten 2018 t.o.v. van de begroting 2018</w:t>
      </w:r>
    </w:p>
    <w:p w:rsidR="00200EBA" w:rsidRPr="00200EBA" w:rsidRDefault="00200EBA" w:rsidP="00C869CC">
      <w:pPr>
        <w:rPr>
          <w:sz w:val="16"/>
        </w:rPr>
      </w:pPr>
    </w:p>
    <w:tbl>
      <w:tblPr>
        <w:tblW w:w="5000" w:type="pct"/>
        <w:tblLayout w:type="fixed"/>
        <w:tblCellMar>
          <w:left w:w="70" w:type="dxa"/>
          <w:right w:w="70" w:type="dxa"/>
        </w:tblCellMar>
        <w:tblLook w:val="04A0" w:firstRow="1" w:lastRow="0" w:firstColumn="1" w:lastColumn="0" w:noHBand="0" w:noVBand="1"/>
      </w:tblPr>
      <w:tblGrid>
        <w:gridCol w:w="915"/>
        <w:gridCol w:w="430"/>
        <w:gridCol w:w="3118"/>
        <w:gridCol w:w="1560"/>
        <w:gridCol w:w="1560"/>
        <w:gridCol w:w="1963"/>
      </w:tblGrid>
      <w:tr w:rsidR="00C869CC" w:rsidRPr="00D172FB" w:rsidTr="00720725">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1F497D"/>
            <w:noWrap/>
            <w:vAlign w:val="center"/>
          </w:tcPr>
          <w:p w:rsidR="00C869CC" w:rsidRPr="00D172FB" w:rsidRDefault="00C869CC" w:rsidP="00720725">
            <w:pPr>
              <w:rPr>
                <w:rFonts w:ascii="Calibri" w:eastAsia="Times New Roman" w:hAnsi="Calibri" w:cs="Calibri"/>
                <w:color w:val="FFFFFF"/>
                <w:sz w:val="16"/>
                <w:szCs w:val="16"/>
              </w:rPr>
            </w:pPr>
          </w:p>
        </w:tc>
        <w:tc>
          <w:tcPr>
            <w:tcW w:w="225" w:type="pct"/>
            <w:tcBorders>
              <w:top w:val="single" w:sz="4" w:space="0" w:color="auto"/>
              <w:left w:val="nil"/>
              <w:bottom w:val="single" w:sz="4" w:space="0" w:color="auto"/>
              <w:right w:val="single" w:sz="4" w:space="0" w:color="auto"/>
            </w:tcBorders>
            <w:shd w:val="clear" w:color="auto" w:fill="1F497D"/>
            <w:noWrap/>
            <w:vAlign w:val="center"/>
          </w:tcPr>
          <w:p w:rsidR="00C869CC" w:rsidRPr="00D172FB" w:rsidRDefault="00C869CC" w:rsidP="00720725">
            <w:pPr>
              <w:jc w:val="right"/>
              <w:rPr>
                <w:rFonts w:ascii="Calibri" w:eastAsia="Times New Roman" w:hAnsi="Calibri" w:cs="Calibri"/>
                <w:color w:val="FFFFFF"/>
                <w:sz w:val="16"/>
                <w:szCs w:val="16"/>
              </w:rPr>
            </w:pPr>
          </w:p>
        </w:tc>
        <w:tc>
          <w:tcPr>
            <w:tcW w:w="1633" w:type="pct"/>
            <w:tcBorders>
              <w:top w:val="single" w:sz="4" w:space="0" w:color="auto"/>
              <w:left w:val="nil"/>
              <w:bottom w:val="single" w:sz="4" w:space="0" w:color="auto"/>
              <w:right w:val="single" w:sz="4" w:space="0" w:color="000000"/>
            </w:tcBorders>
            <w:shd w:val="clear" w:color="auto" w:fill="1F497D"/>
            <w:noWrap/>
            <w:vAlign w:val="center"/>
          </w:tcPr>
          <w:p w:rsidR="00C869CC" w:rsidRPr="00D172FB" w:rsidRDefault="00C869CC" w:rsidP="00720725">
            <w:pPr>
              <w:jc w:val="right"/>
              <w:rPr>
                <w:rFonts w:ascii="Calibri" w:eastAsia="Times New Roman" w:hAnsi="Calibri" w:cs="Calibri"/>
                <w:color w:val="FFFFFF"/>
                <w:sz w:val="16"/>
                <w:szCs w:val="16"/>
              </w:rPr>
            </w:pPr>
          </w:p>
        </w:tc>
        <w:tc>
          <w:tcPr>
            <w:tcW w:w="817" w:type="pct"/>
            <w:tcBorders>
              <w:top w:val="single" w:sz="4" w:space="0" w:color="000000"/>
              <w:left w:val="single" w:sz="4" w:space="0" w:color="000000"/>
              <w:bottom w:val="single" w:sz="4" w:space="0" w:color="000000"/>
              <w:right w:val="single" w:sz="4" w:space="0" w:color="000000"/>
            </w:tcBorders>
            <w:shd w:val="clear" w:color="auto" w:fill="1F497D"/>
            <w:vAlign w:val="center"/>
          </w:tcPr>
          <w:p w:rsidR="00C869CC" w:rsidRPr="00D172FB" w:rsidRDefault="00C869CC" w:rsidP="00720725">
            <w:pPr>
              <w:jc w:val="center"/>
              <w:rPr>
                <w:rFonts w:ascii="Calibri" w:eastAsia="Times New Roman" w:hAnsi="Calibri" w:cs="Calibri"/>
                <w:color w:val="FFFFFF"/>
                <w:sz w:val="16"/>
                <w:szCs w:val="16"/>
              </w:rPr>
            </w:pPr>
            <w:r>
              <w:rPr>
                <w:rFonts w:ascii="Calibri" w:eastAsia="Times New Roman" w:hAnsi="Calibri" w:cs="Calibri"/>
                <w:color w:val="FFFFFF"/>
                <w:sz w:val="16"/>
                <w:szCs w:val="16"/>
              </w:rPr>
              <w:t xml:space="preserve">Opbrengsten begroot 2018  </w:t>
            </w:r>
          </w:p>
        </w:tc>
        <w:tc>
          <w:tcPr>
            <w:tcW w:w="817" w:type="pct"/>
            <w:tcBorders>
              <w:top w:val="single" w:sz="4" w:space="0" w:color="auto"/>
              <w:left w:val="single" w:sz="4" w:space="0" w:color="000000"/>
              <w:bottom w:val="single" w:sz="4" w:space="0" w:color="auto"/>
              <w:right w:val="single" w:sz="4" w:space="0" w:color="000000"/>
            </w:tcBorders>
            <w:shd w:val="clear" w:color="auto" w:fill="1F497D"/>
            <w:vAlign w:val="center"/>
          </w:tcPr>
          <w:p w:rsidR="00C869CC" w:rsidRPr="00D172FB" w:rsidRDefault="00C869CC" w:rsidP="00720725">
            <w:pPr>
              <w:jc w:val="center"/>
              <w:rPr>
                <w:rFonts w:ascii="Calibri" w:eastAsia="Times New Roman" w:hAnsi="Calibri" w:cs="Calibri"/>
                <w:color w:val="FFFFFF"/>
                <w:sz w:val="16"/>
                <w:szCs w:val="16"/>
              </w:rPr>
            </w:pPr>
            <w:r>
              <w:rPr>
                <w:rFonts w:ascii="Calibri" w:eastAsia="Times New Roman" w:hAnsi="Calibri" w:cs="Calibri"/>
                <w:color w:val="FFFFFF"/>
                <w:sz w:val="16"/>
                <w:szCs w:val="16"/>
              </w:rPr>
              <w:t xml:space="preserve">Werkelijke opbrengsten 2018 </w:t>
            </w:r>
          </w:p>
        </w:tc>
        <w:tc>
          <w:tcPr>
            <w:tcW w:w="1028" w:type="pct"/>
            <w:tcBorders>
              <w:top w:val="single" w:sz="4" w:space="0" w:color="auto"/>
              <w:left w:val="single" w:sz="4" w:space="0" w:color="000000"/>
              <w:bottom w:val="single" w:sz="4" w:space="0" w:color="auto"/>
              <w:right w:val="single" w:sz="4" w:space="0" w:color="auto"/>
            </w:tcBorders>
            <w:shd w:val="clear" w:color="auto" w:fill="1F497D"/>
            <w:noWrap/>
            <w:vAlign w:val="center"/>
          </w:tcPr>
          <w:p w:rsidR="00C869CC" w:rsidRPr="00D172FB" w:rsidRDefault="00C869CC" w:rsidP="00720725">
            <w:pPr>
              <w:jc w:val="center"/>
              <w:rPr>
                <w:rFonts w:ascii="Calibri" w:eastAsia="Times New Roman" w:hAnsi="Calibri" w:cs="Calibri"/>
                <w:color w:val="FFFFFF"/>
                <w:sz w:val="16"/>
                <w:szCs w:val="16"/>
              </w:rPr>
            </w:pPr>
            <w:r>
              <w:rPr>
                <w:rFonts w:ascii="Calibri" w:eastAsia="Times New Roman" w:hAnsi="Calibri" w:cs="Calibri"/>
                <w:color w:val="FFFFFF"/>
                <w:sz w:val="16"/>
                <w:szCs w:val="16"/>
              </w:rPr>
              <w:t xml:space="preserve">Verschil begroot t.o.v. werkelijk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Burgerlijke stand</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Pr>
                <w:rFonts w:ascii="Calibri" w:eastAsia="Times New Roman" w:hAnsi="Calibri" w:cs="Calibri"/>
                <w:sz w:val="16"/>
                <w:szCs w:val="16"/>
              </w:rPr>
              <w:t xml:space="preserve">€              </w:t>
            </w:r>
            <w:r w:rsidRPr="00097F1B">
              <w:rPr>
                <w:rFonts w:ascii="Calibri" w:eastAsia="Times New Roman" w:hAnsi="Calibri" w:cs="Calibri"/>
                <w:sz w:val="16"/>
                <w:szCs w:val="16"/>
              </w:rPr>
              <w:t>67.948</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€ 68.421</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473,00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2</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Reisdocumenten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441.173</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€ 451.475</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10.302,00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3</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Rijbewijzen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176.152</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€ 194.354</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18.202,00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4</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Verstrekkingen uit basisregistratie personen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18.020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€ 12.483</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-5.537,00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5</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Verstrekkingen op grond van de Algemene Verordening Gegevensverwerking of AVG</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1</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1,00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6</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proofErr w:type="spellStart"/>
            <w:r w:rsidRPr="00504011">
              <w:rPr>
                <w:rFonts w:ascii="Calibri" w:eastAsia="Times New Roman" w:hAnsi="Calibri" w:cs="Calibri"/>
                <w:sz w:val="16"/>
                <w:szCs w:val="16"/>
              </w:rPr>
              <w:t>Bestuursstukken</w:t>
            </w:r>
            <w:proofErr w:type="spellEnd"/>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7</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Vastgoedinformatie</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8</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Overige publiekszaken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21.450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€ 26.331</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4.881,00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9</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Gemeentearchief</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10</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Leegstandswet</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1.500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€ 1.002</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-498,00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11</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Gemeentegarantie</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12</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Winkeltijdenwet</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13</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Kansspelen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sidRPr="00097F1B">
              <w:rPr>
                <w:rFonts w:ascii="Calibri" w:eastAsia="Times New Roman" w:hAnsi="Calibri" w:cs="Calibri"/>
                <w:sz w:val="16"/>
                <w:szCs w:val="16"/>
              </w:rPr>
              <w:t>€                 9.444</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€ 5.743</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-3.701,00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14</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Ondergrondse infrastructuren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Pr>
                <w:rFonts w:ascii="Calibri" w:eastAsia="Times New Roman" w:hAnsi="Calibri" w:cs="Calibri"/>
                <w:sz w:val="16"/>
                <w:szCs w:val="16"/>
              </w:rPr>
              <w:t xml:space="preserve">€              </w:t>
            </w:r>
            <w:r w:rsidRPr="00097F1B">
              <w:rPr>
                <w:rFonts w:ascii="Calibri" w:eastAsia="Times New Roman" w:hAnsi="Calibri" w:cs="Calibri"/>
                <w:sz w:val="16"/>
                <w:szCs w:val="16"/>
              </w:rPr>
              <w:t>40.281</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€ 54.485</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14.204,00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15</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Verkeer en vervoer</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Pr>
                <w:rFonts w:ascii="Calibri" w:eastAsia="Times New Roman" w:hAnsi="Calibri" w:cs="Calibri"/>
                <w:sz w:val="16"/>
                <w:szCs w:val="16"/>
              </w:rPr>
              <w:t xml:space="preserve">€              </w:t>
            </w:r>
            <w:r w:rsidRPr="00097F1B">
              <w:rPr>
                <w:rFonts w:ascii="Calibri" w:eastAsia="Times New Roman" w:hAnsi="Calibri" w:cs="Calibri"/>
                <w:sz w:val="16"/>
                <w:szCs w:val="16"/>
              </w:rPr>
              <w:t>20.758</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€ 17.308</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-3.450,00</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16</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Diversen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097F1B" w:rsidRDefault="00C638C8" w:rsidP="00C638C8">
            <w:pPr>
              <w:jc w:val="center"/>
              <w:rPr>
                <w:rFonts w:ascii="Calibri" w:eastAsia="Times New Roman" w:hAnsi="Calibri" w:cs="Calibri"/>
                <w:sz w:val="16"/>
                <w:szCs w:val="16"/>
              </w:rPr>
            </w:pPr>
            <w:r>
              <w:rPr>
                <w:rFonts w:ascii="Calibri" w:eastAsia="Times New Roman" w:hAnsi="Calibri" w:cs="Calibri"/>
                <w:sz w:val="16"/>
                <w:szCs w:val="16"/>
              </w:rPr>
              <w:t xml:space="preserve">€              </w:t>
            </w:r>
            <w:r w:rsidRPr="00097F1B">
              <w:rPr>
                <w:rFonts w:ascii="Calibri" w:eastAsia="Times New Roman" w:hAnsi="Calibri" w:cs="Calibri"/>
                <w:sz w:val="16"/>
                <w:szCs w:val="16"/>
              </w:rPr>
              <w:t>60.071</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€ 52.981</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-7.090,00</w:t>
            </w:r>
          </w:p>
        </w:tc>
      </w:tr>
      <w:tr w:rsidR="00C869CC" w:rsidRPr="00C869CC"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1F497D"/>
            <w:noWrap/>
            <w:vAlign w:val="center"/>
          </w:tcPr>
          <w:p w:rsidR="00C869CC" w:rsidRPr="00C869CC" w:rsidRDefault="00C869CC" w:rsidP="00720725">
            <w:pPr>
              <w:rPr>
                <w:rFonts w:ascii="Calibri" w:eastAsia="Times New Roman" w:hAnsi="Calibri" w:cs="Calibri"/>
                <w:color w:val="FFFFFF"/>
                <w:sz w:val="16"/>
                <w:szCs w:val="16"/>
              </w:rPr>
            </w:pPr>
          </w:p>
        </w:tc>
        <w:tc>
          <w:tcPr>
            <w:tcW w:w="225" w:type="pct"/>
            <w:tcBorders>
              <w:top w:val="single" w:sz="4" w:space="0" w:color="auto"/>
              <w:left w:val="nil"/>
              <w:bottom w:val="single" w:sz="4" w:space="0" w:color="auto"/>
              <w:right w:val="single" w:sz="4" w:space="0" w:color="auto"/>
            </w:tcBorders>
            <w:shd w:val="clear" w:color="auto" w:fill="1F497D"/>
            <w:noWrap/>
            <w:vAlign w:val="center"/>
          </w:tcPr>
          <w:p w:rsidR="00C869CC" w:rsidRPr="00C869CC" w:rsidRDefault="00C869CC" w:rsidP="00720725">
            <w:pPr>
              <w:jc w:val="right"/>
              <w:rPr>
                <w:rFonts w:ascii="Calibri" w:eastAsia="Times New Roman" w:hAnsi="Calibri" w:cs="Calibri"/>
                <w:color w:val="FFFFFF"/>
                <w:sz w:val="16"/>
                <w:szCs w:val="16"/>
              </w:rPr>
            </w:pPr>
          </w:p>
        </w:tc>
        <w:tc>
          <w:tcPr>
            <w:tcW w:w="1633" w:type="pct"/>
            <w:tcBorders>
              <w:top w:val="single" w:sz="4" w:space="0" w:color="auto"/>
              <w:left w:val="nil"/>
              <w:bottom w:val="single" w:sz="4" w:space="0" w:color="auto"/>
              <w:right w:val="single" w:sz="4" w:space="0" w:color="000000"/>
            </w:tcBorders>
            <w:shd w:val="clear" w:color="auto" w:fill="1F497D"/>
            <w:noWrap/>
            <w:vAlign w:val="center"/>
          </w:tcPr>
          <w:p w:rsidR="00C869CC" w:rsidRPr="00C869CC" w:rsidRDefault="00C869CC" w:rsidP="00720725">
            <w:pPr>
              <w:jc w:val="center"/>
              <w:rPr>
                <w:rFonts w:ascii="Calibri" w:eastAsia="Times New Roman" w:hAnsi="Calibri" w:cs="Calibri"/>
                <w:color w:val="FFFFFF"/>
                <w:sz w:val="16"/>
                <w:szCs w:val="16"/>
              </w:rPr>
            </w:pPr>
            <w:r w:rsidRPr="00C869CC">
              <w:rPr>
                <w:rFonts w:ascii="Calibri" w:eastAsia="Times New Roman" w:hAnsi="Calibri" w:cs="Calibri"/>
                <w:color w:val="FFFFFF"/>
                <w:sz w:val="16"/>
                <w:szCs w:val="16"/>
              </w:rPr>
              <w:t>Totaal Titel 1</w:t>
            </w:r>
          </w:p>
        </w:tc>
        <w:tc>
          <w:tcPr>
            <w:tcW w:w="817" w:type="pct"/>
            <w:tcBorders>
              <w:top w:val="single" w:sz="4" w:space="0" w:color="000000"/>
              <w:left w:val="single" w:sz="4" w:space="0" w:color="000000"/>
              <w:bottom w:val="single" w:sz="4" w:space="0" w:color="000000"/>
              <w:right w:val="single" w:sz="4" w:space="0" w:color="000000"/>
            </w:tcBorders>
            <w:shd w:val="clear" w:color="auto" w:fill="1F497D"/>
            <w:vAlign w:val="center"/>
          </w:tcPr>
          <w:p w:rsidR="00C869CC" w:rsidRPr="00C638C8" w:rsidRDefault="00C638C8" w:rsidP="00C638C8">
            <w:pPr>
              <w:jc w:val="center"/>
              <w:rPr>
                <w:rFonts w:ascii="Calibri" w:eastAsia="Times New Roman" w:hAnsi="Calibri" w:cs="Calibri"/>
                <w:b/>
                <w:bCs/>
                <w:color w:val="FFFFFF"/>
                <w:sz w:val="16"/>
                <w:szCs w:val="16"/>
              </w:rPr>
            </w:pPr>
            <w:r w:rsidRPr="00C638C8">
              <w:rPr>
                <w:rFonts w:ascii="Calibri" w:eastAsia="Times New Roman" w:hAnsi="Calibri" w:cs="Calibri"/>
                <w:b/>
                <w:bCs/>
                <w:color w:val="FFFFFF"/>
                <w:sz w:val="16"/>
                <w:szCs w:val="16"/>
              </w:rPr>
              <w:t>€            856.796</w:t>
            </w:r>
          </w:p>
        </w:tc>
        <w:tc>
          <w:tcPr>
            <w:tcW w:w="817" w:type="pct"/>
            <w:tcBorders>
              <w:top w:val="single" w:sz="4" w:space="0" w:color="auto"/>
              <w:left w:val="single" w:sz="4" w:space="0" w:color="000000"/>
              <w:bottom w:val="single" w:sz="4" w:space="0" w:color="auto"/>
              <w:right w:val="single" w:sz="4" w:space="0" w:color="000000"/>
            </w:tcBorders>
            <w:shd w:val="clear" w:color="auto" w:fill="1F497D"/>
            <w:vAlign w:val="center"/>
          </w:tcPr>
          <w:p w:rsidR="00C869CC" w:rsidRPr="00C869CC" w:rsidRDefault="00C869CC" w:rsidP="00C638C8">
            <w:pPr>
              <w:jc w:val="center"/>
              <w:rPr>
                <w:rFonts w:ascii="Calibri" w:eastAsia="Times New Roman" w:hAnsi="Calibri" w:cs="Calibri"/>
                <w:b/>
                <w:bCs/>
                <w:color w:val="FFFFFF"/>
                <w:sz w:val="16"/>
                <w:szCs w:val="16"/>
              </w:rPr>
            </w:pPr>
            <w:r w:rsidRPr="00C869CC">
              <w:rPr>
                <w:rFonts w:ascii="Calibri" w:eastAsia="Times New Roman" w:hAnsi="Calibri" w:cs="Calibri"/>
                <w:b/>
                <w:bCs/>
                <w:color w:val="FFFFFF"/>
                <w:sz w:val="16"/>
                <w:szCs w:val="16"/>
              </w:rPr>
              <w:t>€ 884.583</w:t>
            </w:r>
          </w:p>
        </w:tc>
        <w:tc>
          <w:tcPr>
            <w:tcW w:w="1028" w:type="pct"/>
            <w:tcBorders>
              <w:top w:val="single" w:sz="4" w:space="0" w:color="auto"/>
              <w:left w:val="single" w:sz="4" w:space="0" w:color="000000"/>
              <w:bottom w:val="single" w:sz="4" w:space="0" w:color="auto"/>
              <w:right w:val="single" w:sz="4" w:space="0" w:color="auto"/>
            </w:tcBorders>
            <w:shd w:val="clear" w:color="auto" w:fill="1F497D"/>
            <w:noWrap/>
            <w:vAlign w:val="center"/>
          </w:tcPr>
          <w:p w:rsidR="00C869CC" w:rsidRPr="00C869CC" w:rsidRDefault="00C638C8" w:rsidP="00C638C8">
            <w:pPr>
              <w:jc w:val="center"/>
              <w:rPr>
                <w:rFonts w:ascii="Calibri" w:eastAsia="Times New Roman" w:hAnsi="Calibri" w:cs="Calibri"/>
                <w:b/>
                <w:bCs/>
                <w:color w:val="FFFFFF"/>
                <w:sz w:val="16"/>
                <w:szCs w:val="16"/>
              </w:rPr>
            </w:pPr>
            <w:r w:rsidRPr="00C638C8">
              <w:rPr>
                <w:rFonts w:ascii="Calibri" w:eastAsia="Times New Roman" w:hAnsi="Calibri" w:cs="Calibri"/>
                <w:b/>
                <w:bCs/>
                <w:color w:val="FFFFFF"/>
                <w:sz w:val="16"/>
                <w:szCs w:val="16"/>
              </w:rPr>
              <w:t>€         27.787</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Begripsomschrijvingen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2</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Omgevingsvergunning</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1.082.203,00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€ 1.177.876</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C638C8">
            <w:pPr>
              <w:jc w:val="center"/>
              <w:rPr>
                <w:rFonts w:ascii="Calibri" w:eastAsia="Times New Roman" w:hAnsi="Calibri" w:cs="Calibri"/>
                <w:sz w:val="16"/>
                <w:szCs w:val="16"/>
              </w:rPr>
            </w:pPr>
            <w:r>
              <w:rPr>
                <w:rFonts w:ascii="Calibri" w:eastAsia="Times New Roman" w:hAnsi="Calibri" w:cs="Calibri"/>
                <w:sz w:val="16"/>
                <w:szCs w:val="16"/>
              </w:rPr>
              <w:t>€ 95.673</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3</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Vermindering</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4</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Wijziging omgevingsvergunning als gevolg van wijziging project</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5</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Bestemmingswijzigingen zonder activiteiten</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6</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In deze titel niet benoemde beschikking</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504011" w:rsidRDefault="00C638C8" w:rsidP="00720725">
            <w:pPr>
              <w:jc w:val="center"/>
              <w:rPr>
                <w:rFonts w:ascii="Calibri" w:eastAsia="Times New Roman" w:hAnsi="Calibri" w:cs="Calibri"/>
                <w:sz w:val="16"/>
                <w:szCs w:val="16"/>
              </w:rPr>
            </w:pPr>
            <w:r w:rsidRPr="00504011">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C869CC"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1F497D"/>
            <w:noWrap/>
            <w:vAlign w:val="center"/>
          </w:tcPr>
          <w:p w:rsidR="00C638C8" w:rsidRPr="00C869CC" w:rsidRDefault="00C638C8" w:rsidP="00720725">
            <w:pPr>
              <w:rPr>
                <w:rFonts w:ascii="Calibri" w:eastAsia="Times New Roman" w:hAnsi="Calibri" w:cs="Calibri"/>
                <w:color w:val="FFFFFF"/>
                <w:sz w:val="16"/>
                <w:szCs w:val="16"/>
              </w:rPr>
            </w:pPr>
          </w:p>
        </w:tc>
        <w:tc>
          <w:tcPr>
            <w:tcW w:w="225" w:type="pct"/>
            <w:tcBorders>
              <w:top w:val="single" w:sz="4" w:space="0" w:color="auto"/>
              <w:left w:val="nil"/>
              <w:bottom w:val="single" w:sz="4" w:space="0" w:color="auto"/>
              <w:right w:val="single" w:sz="4" w:space="0" w:color="auto"/>
            </w:tcBorders>
            <w:shd w:val="clear" w:color="auto" w:fill="1F497D"/>
            <w:noWrap/>
            <w:vAlign w:val="center"/>
          </w:tcPr>
          <w:p w:rsidR="00C638C8" w:rsidRPr="00C869CC" w:rsidRDefault="00C638C8" w:rsidP="00720725">
            <w:pPr>
              <w:rPr>
                <w:rFonts w:ascii="Calibri" w:eastAsia="Times New Roman" w:hAnsi="Calibri" w:cs="Calibri"/>
                <w:color w:val="FFFFFF"/>
                <w:sz w:val="16"/>
                <w:szCs w:val="16"/>
              </w:rPr>
            </w:pPr>
          </w:p>
        </w:tc>
        <w:tc>
          <w:tcPr>
            <w:tcW w:w="1633" w:type="pct"/>
            <w:tcBorders>
              <w:top w:val="single" w:sz="4" w:space="0" w:color="auto"/>
              <w:left w:val="nil"/>
              <w:bottom w:val="single" w:sz="4" w:space="0" w:color="auto"/>
              <w:right w:val="single" w:sz="4" w:space="0" w:color="000000"/>
            </w:tcBorders>
            <w:shd w:val="clear" w:color="auto" w:fill="1F497D"/>
            <w:noWrap/>
            <w:vAlign w:val="center"/>
          </w:tcPr>
          <w:p w:rsidR="00C638C8" w:rsidRPr="00C869CC" w:rsidRDefault="00C638C8" w:rsidP="00720725">
            <w:pPr>
              <w:jc w:val="center"/>
              <w:rPr>
                <w:rFonts w:ascii="Calibri" w:eastAsia="Times New Roman" w:hAnsi="Calibri" w:cs="Calibri"/>
                <w:color w:val="FFFFFF"/>
                <w:sz w:val="16"/>
                <w:szCs w:val="16"/>
              </w:rPr>
            </w:pPr>
            <w:r w:rsidRPr="00C869CC">
              <w:rPr>
                <w:rFonts w:ascii="Calibri" w:eastAsia="Times New Roman" w:hAnsi="Calibri" w:cs="Calibri"/>
                <w:color w:val="FFFFFF"/>
                <w:sz w:val="16"/>
                <w:szCs w:val="16"/>
              </w:rPr>
              <w:t>Totaal Titel 2</w:t>
            </w:r>
          </w:p>
        </w:tc>
        <w:tc>
          <w:tcPr>
            <w:tcW w:w="817" w:type="pct"/>
            <w:tcBorders>
              <w:top w:val="single" w:sz="4" w:space="0" w:color="000000"/>
              <w:left w:val="single" w:sz="4" w:space="0" w:color="000000"/>
              <w:bottom w:val="single" w:sz="4" w:space="0" w:color="000000"/>
              <w:right w:val="single" w:sz="4" w:space="0" w:color="000000"/>
            </w:tcBorders>
            <w:shd w:val="clear" w:color="auto" w:fill="1F497D"/>
            <w:vAlign w:val="center"/>
          </w:tcPr>
          <w:p w:rsidR="00C638C8" w:rsidRPr="00200EBA" w:rsidRDefault="00C638C8" w:rsidP="00C638C8">
            <w:pPr>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        1.082.203</w:t>
            </w:r>
          </w:p>
        </w:tc>
        <w:tc>
          <w:tcPr>
            <w:tcW w:w="817" w:type="pct"/>
            <w:tcBorders>
              <w:top w:val="single" w:sz="4" w:space="0" w:color="auto"/>
              <w:left w:val="single" w:sz="4" w:space="0" w:color="000000"/>
              <w:bottom w:val="single" w:sz="4" w:space="0" w:color="auto"/>
              <w:right w:val="single" w:sz="4" w:space="0" w:color="000000"/>
            </w:tcBorders>
            <w:shd w:val="clear" w:color="auto" w:fill="1F497D"/>
            <w:vAlign w:val="center"/>
          </w:tcPr>
          <w:p w:rsidR="00C638C8" w:rsidRPr="00C869CC" w:rsidRDefault="00C638C8" w:rsidP="00720725">
            <w:pPr>
              <w:jc w:val="center"/>
              <w:rPr>
                <w:rFonts w:ascii="Calibri" w:eastAsia="Times New Roman" w:hAnsi="Calibri" w:cs="Calibri"/>
                <w:color w:val="FFFFFF"/>
                <w:sz w:val="16"/>
                <w:szCs w:val="16"/>
              </w:rPr>
            </w:pPr>
            <w:r w:rsidRPr="00C869CC">
              <w:rPr>
                <w:rFonts w:ascii="Calibri" w:eastAsia="Times New Roman" w:hAnsi="Calibri" w:cs="Calibri"/>
                <w:b/>
                <w:bCs/>
                <w:color w:val="FFFFFF"/>
                <w:sz w:val="16"/>
                <w:szCs w:val="16"/>
              </w:rPr>
              <w:t>€ 1.177.876</w:t>
            </w:r>
          </w:p>
        </w:tc>
        <w:tc>
          <w:tcPr>
            <w:tcW w:w="1028" w:type="pct"/>
            <w:tcBorders>
              <w:top w:val="single" w:sz="4" w:space="0" w:color="auto"/>
              <w:left w:val="single" w:sz="4" w:space="0" w:color="000000"/>
              <w:bottom w:val="single" w:sz="4" w:space="0" w:color="auto"/>
              <w:right w:val="single" w:sz="4" w:space="0" w:color="auto"/>
            </w:tcBorders>
            <w:shd w:val="clear" w:color="auto" w:fill="1F497D"/>
            <w:noWrap/>
            <w:vAlign w:val="center"/>
          </w:tcPr>
          <w:p w:rsidR="00C638C8" w:rsidRPr="00C869CC" w:rsidRDefault="00C638C8" w:rsidP="00C638C8">
            <w:pPr>
              <w:jc w:val="center"/>
              <w:rPr>
                <w:rFonts w:ascii="Calibri" w:eastAsia="Times New Roman" w:hAnsi="Calibri" w:cs="Calibri"/>
                <w:b/>
                <w:bCs/>
                <w:color w:val="FFFFFF"/>
                <w:sz w:val="16"/>
                <w:szCs w:val="16"/>
              </w:rPr>
            </w:pPr>
            <w:r w:rsidRPr="00C638C8">
              <w:rPr>
                <w:rFonts w:ascii="Calibri" w:eastAsia="Times New Roman" w:hAnsi="Calibri" w:cs="Calibri"/>
                <w:b/>
                <w:bCs/>
                <w:color w:val="FFFFFF"/>
                <w:sz w:val="16"/>
                <w:szCs w:val="16"/>
              </w:rPr>
              <w:t>€         95.673</w:t>
            </w:r>
          </w:p>
        </w:tc>
      </w:tr>
      <w:tr w:rsidR="00C638C8" w:rsidRPr="00504011" w:rsidTr="00C638C8">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1</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Horeca</w:t>
            </w:r>
          </w:p>
        </w:tc>
        <w:tc>
          <w:tcPr>
            <w:tcW w:w="817" w:type="pct"/>
            <w:tcBorders>
              <w:top w:val="single" w:sz="4" w:space="0" w:color="000000"/>
              <w:left w:val="single" w:sz="4" w:space="0" w:color="000000"/>
              <w:bottom w:val="single" w:sz="4" w:space="0" w:color="000000"/>
              <w:right w:val="single" w:sz="4" w:space="0" w:color="000000"/>
            </w:tcBorders>
            <w:vAlign w:val="center"/>
          </w:tcPr>
          <w:p w:rsidR="00C638C8" w:rsidRPr="00C638C8" w:rsidRDefault="00C638C8" w:rsidP="00C638C8">
            <w:pPr>
              <w:jc w:val="center"/>
              <w:rPr>
                <w:rFonts w:ascii="Calibri" w:eastAsia="Times New Roman" w:hAnsi="Calibri" w:cs="Calibri"/>
                <w:sz w:val="16"/>
                <w:szCs w:val="16"/>
              </w:rPr>
            </w:pPr>
            <w:r w:rsidRPr="00C638C8">
              <w:rPr>
                <w:rFonts w:ascii="Calibri" w:eastAsia="Times New Roman" w:hAnsi="Calibri" w:cs="Calibri"/>
                <w:sz w:val="16"/>
                <w:szCs w:val="16"/>
              </w:rPr>
              <w:t>€ 6.786,00</w:t>
            </w: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€ 6.114</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€ 456,00</w:t>
            </w:r>
          </w:p>
        </w:tc>
      </w:tr>
      <w:tr w:rsidR="00C638C8" w:rsidRPr="00504011" w:rsidTr="00720725">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2</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Organiseren evenementen of markten</w:t>
            </w:r>
          </w:p>
        </w:tc>
        <w:tc>
          <w:tcPr>
            <w:tcW w:w="817" w:type="pct"/>
            <w:tcBorders>
              <w:top w:val="single" w:sz="4" w:space="0" w:color="000000"/>
              <w:left w:val="single" w:sz="4" w:space="0" w:color="000000"/>
              <w:bottom w:val="single" w:sz="4" w:space="0" w:color="000000"/>
              <w:right w:val="single" w:sz="4" w:space="0" w:color="000000"/>
            </w:tcBorders>
            <w:vAlign w:val="bottom"/>
          </w:tcPr>
          <w:p w:rsidR="00C638C8" w:rsidRDefault="00C638C8">
            <w:pPr>
              <w:jc w:val="right"/>
              <w:rPr>
                <w:rFonts w:ascii="Calibri" w:hAnsi="Calibri"/>
                <w:color w:val="000000"/>
                <w:sz w:val="18"/>
                <w:szCs w:val="18"/>
              </w:rPr>
            </w:pP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€ 292</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€ 106,00</w:t>
            </w:r>
          </w:p>
        </w:tc>
      </w:tr>
      <w:tr w:rsidR="00C638C8" w:rsidRPr="00504011" w:rsidTr="00720725">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3</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Prostitutiebedrijven</w:t>
            </w:r>
          </w:p>
        </w:tc>
        <w:tc>
          <w:tcPr>
            <w:tcW w:w="817" w:type="pct"/>
            <w:tcBorders>
              <w:top w:val="single" w:sz="4" w:space="0" w:color="000000"/>
              <w:left w:val="single" w:sz="4" w:space="0" w:color="000000"/>
              <w:bottom w:val="single" w:sz="4" w:space="0" w:color="000000"/>
              <w:right w:val="single" w:sz="4" w:space="0" w:color="000000"/>
            </w:tcBorders>
            <w:vAlign w:val="bottom"/>
          </w:tcPr>
          <w:p w:rsidR="00C638C8" w:rsidRDefault="00C638C8">
            <w:pPr>
              <w:jc w:val="right"/>
              <w:rPr>
                <w:rFonts w:ascii="Calibri" w:hAnsi="Calibri"/>
                <w:color w:val="000000"/>
                <w:sz w:val="18"/>
                <w:szCs w:val="18"/>
              </w:rPr>
            </w:pP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504011" w:rsidTr="00720725">
        <w:trPr>
          <w:trHeight w:val="300"/>
        </w:trPr>
        <w:tc>
          <w:tcPr>
            <w:tcW w:w="479" w:type="pct"/>
            <w:tcBorders>
              <w:top w:val="single" w:sz="4" w:space="0" w:color="auto"/>
              <w:left w:val="single" w:sz="8" w:space="0" w:color="auto"/>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4</w:t>
            </w:r>
          </w:p>
        </w:tc>
        <w:tc>
          <w:tcPr>
            <w:tcW w:w="1633" w:type="pct"/>
            <w:tcBorders>
              <w:top w:val="single" w:sz="4" w:space="0" w:color="auto"/>
              <w:left w:val="nil"/>
              <w:bottom w:val="single" w:sz="4" w:space="0" w:color="auto"/>
              <w:right w:val="single" w:sz="4" w:space="0" w:color="000000"/>
            </w:tcBorders>
            <w:shd w:val="clear" w:color="auto" w:fill="auto"/>
            <w:noWrap/>
            <w:vAlign w:val="center"/>
          </w:tcPr>
          <w:p w:rsidR="00C638C8" w:rsidRPr="00504011" w:rsidRDefault="00C638C8" w:rsidP="00720725">
            <w:pPr>
              <w:rPr>
                <w:rFonts w:ascii="Calibri" w:eastAsia="Times New Roman" w:hAnsi="Calibri" w:cs="Calibri"/>
                <w:sz w:val="16"/>
                <w:szCs w:val="16"/>
              </w:rPr>
            </w:pPr>
            <w:r w:rsidRPr="00504011">
              <w:rPr>
                <w:rFonts w:ascii="Calibri" w:eastAsia="Times New Roman" w:hAnsi="Calibri" w:cs="Calibri"/>
                <w:sz w:val="16"/>
                <w:szCs w:val="16"/>
              </w:rPr>
              <w:t>In deze titel niet benoemde vergunning, ontheffing of andere beschikking</w:t>
            </w:r>
          </w:p>
        </w:tc>
        <w:tc>
          <w:tcPr>
            <w:tcW w:w="817" w:type="pct"/>
            <w:tcBorders>
              <w:top w:val="single" w:sz="4" w:space="0" w:color="000000"/>
              <w:left w:val="single" w:sz="4" w:space="0" w:color="000000"/>
              <w:bottom w:val="single" w:sz="4" w:space="0" w:color="000000"/>
              <w:right w:val="single" w:sz="4" w:space="0" w:color="000000"/>
            </w:tcBorders>
            <w:vAlign w:val="bottom"/>
          </w:tcPr>
          <w:p w:rsidR="00C638C8" w:rsidRDefault="00C638C8">
            <w:pPr>
              <w:jc w:val="right"/>
              <w:rPr>
                <w:rFonts w:ascii="Calibri" w:hAnsi="Calibri"/>
                <w:color w:val="000000"/>
                <w:sz w:val="18"/>
                <w:szCs w:val="18"/>
              </w:rPr>
            </w:pPr>
          </w:p>
        </w:tc>
        <w:tc>
          <w:tcPr>
            <w:tcW w:w="817" w:type="pct"/>
            <w:tcBorders>
              <w:top w:val="single" w:sz="4" w:space="0" w:color="auto"/>
              <w:left w:val="single" w:sz="4" w:space="0" w:color="000000"/>
              <w:bottom w:val="single" w:sz="4" w:space="0" w:color="auto"/>
              <w:right w:val="single" w:sz="4" w:space="0" w:color="000000"/>
            </w:tcBorders>
            <w:vAlign w:val="center"/>
          </w:tcPr>
          <w:p w:rsidR="00C638C8" w:rsidRPr="007E7A2C" w:rsidRDefault="00C638C8" w:rsidP="00720725">
            <w:pPr>
              <w:jc w:val="center"/>
              <w:rPr>
                <w:rFonts w:ascii="Calibri" w:eastAsia="Times New Roman" w:hAnsi="Calibri" w:cs="Calibri"/>
                <w:sz w:val="16"/>
                <w:szCs w:val="16"/>
              </w:rPr>
            </w:pPr>
            <w:r w:rsidRPr="007E7A2C">
              <w:rPr>
                <w:rFonts w:ascii="Calibri" w:eastAsia="Times New Roman" w:hAnsi="Calibri" w:cs="Calibri"/>
                <w:sz w:val="16"/>
                <w:szCs w:val="16"/>
              </w:rPr>
              <w:t>€ 0</w:t>
            </w:r>
          </w:p>
        </w:tc>
        <w:tc>
          <w:tcPr>
            <w:tcW w:w="1028" w:type="pct"/>
            <w:tcBorders>
              <w:top w:val="single" w:sz="4" w:space="0" w:color="auto"/>
              <w:left w:val="single" w:sz="4" w:space="0" w:color="000000"/>
              <w:bottom w:val="single" w:sz="4" w:space="0" w:color="auto"/>
              <w:right w:val="single" w:sz="4" w:space="0" w:color="auto"/>
            </w:tcBorders>
            <w:shd w:val="clear" w:color="auto" w:fill="auto"/>
            <w:noWrap/>
            <w:vAlign w:val="center"/>
          </w:tcPr>
          <w:p w:rsidR="00C638C8" w:rsidRPr="00776CB6" w:rsidRDefault="00C638C8" w:rsidP="00720725">
            <w:pPr>
              <w:jc w:val="center"/>
              <w:rPr>
                <w:rFonts w:ascii="Calibri" w:eastAsia="Times New Roman" w:hAnsi="Calibri" w:cs="Calibri"/>
                <w:sz w:val="16"/>
                <w:szCs w:val="16"/>
              </w:rPr>
            </w:pPr>
            <w:r w:rsidRPr="00776CB6">
              <w:rPr>
                <w:rFonts w:ascii="Calibri" w:eastAsia="Times New Roman" w:hAnsi="Calibri" w:cs="Calibri"/>
                <w:sz w:val="16"/>
                <w:szCs w:val="16"/>
              </w:rPr>
              <w:t>€ -</w:t>
            </w:r>
          </w:p>
        </w:tc>
      </w:tr>
      <w:tr w:rsidR="00C638C8" w:rsidRPr="00C869CC" w:rsidTr="00C638C8">
        <w:trPr>
          <w:trHeight w:val="315"/>
        </w:trPr>
        <w:tc>
          <w:tcPr>
            <w:tcW w:w="479" w:type="pct"/>
            <w:tcBorders>
              <w:top w:val="single" w:sz="4" w:space="0" w:color="auto"/>
              <w:left w:val="single" w:sz="8" w:space="0" w:color="auto"/>
              <w:bottom w:val="single" w:sz="4" w:space="0" w:color="000000"/>
              <w:right w:val="single" w:sz="4" w:space="0" w:color="000000"/>
            </w:tcBorders>
            <w:shd w:val="clear" w:color="auto" w:fill="1F497D"/>
            <w:noWrap/>
            <w:vAlign w:val="bottom"/>
          </w:tcPr>
          <w:p w:rsidR="00C638C8" w:rsidRPr="00D172FB" w:rsidRDefault="00C638C8" w:rsidP="00720725">
            <w:pPr>
              <w:rPr>
                <w:rFonts w:ascii="Calibri" w:eastAsia="Times New Roman" w:hAnsi="Calibri" w:cs="Calibri"/>
                <w:b/>
                <w:bCs/>
                <w:color w:val="FFFFFF"/>
                <w:sz w:val="16"/>
                <w:szCs w:val="16"/>
              </w:rPr>
            </w:pPr>
          </w:p>
        </w:tc>
        <w:tc>
          <w:tcPr>
            <w:tcW w:w="225" w:type="pct"/>
            <w:tcBorders>
              <w:top w:val="single" w:sz="4" w:space="0" w:color="auto"/>
              <w:left w:val="nil"/>
              <w:bottom w:val="single" w:sz="4" w:space="0" w:color="000000"/>
              <w:right w:val="single" w:sz="4" w:space="0" w:color="000000"/>
            </w:tcBorders>
            <w:shd w:val="clear" w:color="auto" w:fill="1F497D"/>
            <w:noWrap/>
            <w:vAlign w:val="center"/>
          </w:tcPr>
          <w:p w:rsidR="00C638C8" w:rsidRPr="00D172FB" w:rsidRDefault="00C638C8" w:rsidP="00720725">
            <w:pPr>
              <w:jc w:val="right"/>
              <w:rPr>
                <w:rFonts w:ascii="Calibri" w:eastAsia="Times New Roman" w:hAnsi="Calibri" w:cs="Calibri"/>
                <w:b/>
                <w:bCs/>
                <w:color w:val="FFFFFF"/>
                <w:sz w:val="16"/>
                <w:szCs w:val="16"/>
              </w:rPr>
            </w:pPr>
          </w:p>
        </w:tc>
        <w:tc>
          <w:tcPr>
            <w:tcW w:w="1633" w:type="pct"/>
            <w:tcBorders>
              <w:top w:val="single" w:sz="4" w:space="0" w:color="auto"/>
              <w:left w:val="nil"/>
              <w:bottom w:val="single" w:sz="4" w:space="0" w:color="000000"/>
              <w:right w:val="single" w:sz="4" w:space="0" w:color="000000"/>
            </w:tcBorders>
            <w:shd w:val="clear" w:color="auto" w:fill="1F497D"/>
            <w:noWrap/>
            <w:vAlign w:val="center"/>
          </w:tcPr>
          <w:p w:rsidR="00C638C8" w:rsidRPr="00C869CC" w:rsidRDefault="00C638C8" w:rsidP="00720725">
            <w:pPr>
              <w:jc w:val="center"/>
              <w:rPr>
                <w:rFonts w:ascii="Calibri" w:eastAsia="Times New Roman" w:hAnsi="Calibri" w:cs="Calibri"/>
                <w:b/>
                <w:bCs/>
                <w:color w:val="FFFFFF"/>
                <w:sz w:val="16"/>
                <w:szCs w:val="16"/>
              </w:rPr>
            </w:pPr>
            <w:r w:rsidRPr="00C869CC">
              <w:rPr>
                <w:rFonts w:ascii="Calibri" w:eastAsia="Times New Roman" w:hAnsi="Calibri" w:cs="Calibri"/>
                <w:b/>
                <w:bCs/>
                <w:color w:val="FFFFFF"/>
                <w:sz w:val="16"/>
                <w:szCs w:val="16"/>
              </w:rPr>
              <w:t>Totaal Titel 3</w:t>
            </w:r>
          </w:p>
        </w:tc>
        <w:tc>
          <w:tcPr>
            <w:tcW w:w="817" w:type="pct"/>
            <w:tcBorders>
              <w:top w:val="single" w:sz="4" w:space="0" w:color="000000"/>
              <w:left w:val="nil"/>
              <w:bottom w:val="single" w:sz="4" w:space="0" w:color="000000"/>
              <w:right w:val="single" w:sz="4" w:space="0" w:color="000000"/>
            </w:tcBorders>
            <w:shd w:val="clear" w:color="auto" w:fill="1F497D"/>
            <w:vAlign w:val="center"/>
          </w:tcPr>
          <w:p w:rsidR="00C638C8" w:rsidRPr="00C638C8" w:rsidRDefault="00C638C8" w:rsidP="00C638C8">
            <w:pPr>
              <w:jc w:val="center"/>
              <w:rPr>
                <w:rFonts w:ascii="Calibri" w:eastAsia="Times New Roman" w:hAnsi="Calibri" w:cs="Calibri"/>
                <w:b/>
                <w:bCs/>
                <w:color w:val="FFFFFF"/>
                <w:sz w:val="16"/>
                <w:szCs w:val="16"/>
              </w:rPr>
            </w:pPr>
            <w:r w:rsidRPr="00C638C8">
              <w:rPr>
                <w:rFonts w:ascii="Calibri" w:eastAsia="Times New Roman" w:hAnsi="Calibri" w:cs="Calibri"/>
                <w:b/>
                <w:bCs/>
                <w:color w:val="FFFFFF"/>
                <w:sz w:val="16"/>
                <w:szCs w:val="16"/>
              </w:rPr>
              <w:t>€                 6.786</w:t>
            </w:r>
          </w:p>
        </w:tc>
        <w:tc>
          <w:tcPr>
            <w:tcW w:w="817" w:type="pct"/>
            <w:tcBorders>
              <w:top w:val="single" w:sz="4" w:space="0" w:color="auto"/>
              <w:left w:val="single" w:sz="4" w:space="0" w:color="000000"/>
              <w:bottom w:val="single" w:sz="4" w:space="0" w:color="000000"/>
              <w:right w:val="single" w:sz="4" w:space="0" w:color="000000"/>
            </w:tcBorders>
            <w:shd w:val="clear" w:color="auto" w:fill="1F497D"/>
            <w:vAlign w:val="center"/>
          </w:tcPr>
          <w:p w:rsidR="00C638C8" w:rsidRPr="00C869CC" w:rsidRDefault="00C638C8" w:rsidP="00720725">
            <w:pPr>
              <w:jc w:val="center"/>
              <w:rPr>
                <w:rFonts w:ascii="Calibri" w:eastAsia="Times New Roman" w:hAnsi="Calibri" w:cs="Calibri"/>
                <w:b/>
                <w:bCs/>
                <w:color w:val="FFFFFF"/>
                <w:sz w:val="16"/>
                <w:szCs w:val="16"/>
              </w:rPr>
            </w:pPr>
            <w:r w:rsidRPr="00C869CC">
              <w:rPr>
                <w:rFonts w:ascii="Calibri" w:eastAsia="Times New Roman" w:hAnsi="Calibri" w:cs="Calibri"/>
                <w:b/>
                <w:bCs/>
                <w:color w:val="FFFFFF"/>
                <w:sz w:val="16"/>
                <w:szCs w:val="16"/>
              </w:rPr>
              <w:t>€ 6.406</w:t>
            </w:r>
          </w:p>
        </w:tc>
        <w:tc>
          <w:tcPr>
            <w:tcW w:w="1028" w:type="pct"/>
            <w:tcBorders>
              <w:top w:val="single" w:sz="4" w:space="0" w:color="auto"/>
              <w:left w:val="single" w:sz="4" w:space="0" w:color="000000"/>
              <w:bottom w:val="single" w:sz="4" w:space="0" w:color="000000"/>
              <w:right w:val="single" w:sz="4" w:space="0" w:color="000000"/>
            </w:tcBorders>
            <w:shd w:val="clear" w:color="auto" w:fill="1F497D"/>
            <w:noWrap/>
            <w:vAlign w:val="center"/>
          </w:tcPr>
          <w:p w:rsidR="00C638C8" w:rsidRPr="00C869CC" w:rsidRDefault="00C638C8" w:rsidP="00C638C8">
            <w:pPr>
              <w:jc w:val="center"/>
              <w:rPr>
                <w:rFonts w:ascii="Calibri" w:eastAsia="Times New Roman" w:hAnsi="Calibri" w:cs="Calibri"/>
                <w:b/>
                <w:bCs/>
                <w:color w:val="FFFFFF"/>
                <w:sz w:val="16"/>
                <w:szCs w:val="16"/>
              </w:rPr>
            </w:pPr>
            <w:r w:rsidRPr="00C638C8">
              <w:rPr>
                <w:rFonts w:ascii="Calibri" w:eastAsia="Times New Roman" w:hAnsi="Calibri" w:cs="Calibri"/>
                <w:b/>
                <w:bCs/>
                <w:color w:val="FFFFFF"/>
                <w:sz w:val="16"/>
                <w:szCs w:val="16"/>
              </w:rPr>
              <w:t>€             -380</w:t>
            </w:r>
          </w:p>
        </w:tc>
      </w:tr>
      <w:tr w:rsidR="00C638C8" w:rsidRPr="00D172FB" w:rsidTr="00200EBA">
        <w:trPr>
          <w:trHeight w:val="315"/>
        </w:trPr>
        <w:tc>
          <w:tcPr>
            <w:tcW w:w="479" w:type="pct"/>
            <w:tcBorders>
              <w:top w:val="single" w:sz="4" w:space="0" w:color="000000"/>
              <w:left w:val="single" w:sz="4" w:space="0" w:color="000000"/>
              <w:bottom w:val="single" w:sz="4" w:space="0" w:color="000000"/>
              <w:right w:val="single" w:sz="4" w:space="0" w:color="000000"/>
            </w:tcBorders>
            <w:shd w:val="clear" w:color="auto" w:fill="1F497D"/>
            <w:noWrap/>
            <w:vAlign w:val="bottom"/>
          </w:tcPr>
          <w:p w:rsidR="00C638C8" w:rsidRPr="00D172FB" w:rsidRDefault="00C638C8" w:rsidP="00720725">
            <w:pPr>
              <w:rPr>
                <w:rFonts w:ascii="Calibri" w:eastAsia="Times New Roman" w:hAnsi="Calibri" w:cs="Calibri"/>
                <w:b/>
                <w:bCs/>
                <w:color w:val="FFFFFF"/>
                <w:sz w:val="16"/>
                <w:szCs w:val="16"/>
              </w:rPr>
            </w:pPr>
          </w:p>
        </w:tc>
        <w:tc>
          <w:tcPr>
            <w:tcW w:w="225" w:type="pct"/>
            <w:tcBorders>
              <w:top w:val="single" w:sz="4" w:space="0" w:color="000000"/>
              <w:left w:val="nil"/>
              <w:bottom w:val="single" w:sz="4" w:space="0" w:color="000000"/>
              <w:right w:val="single" w:sz="4" w:space="0" w:color="000000"/>
            </w:tcBorders>
            <w:shd w:val="clear" w:color="auto" w:fill="1F497D"/>
            <w:noWrap/>
            <w:vAlign w:val="center"/>
          </w:tcPr>
          <w:p w:rsidR="00C638C8" w:rsidRPr="00D172FB" w:rsidRDefault="00C638C8" w:rsidP="00720725">
            <w:pPr>
              <w:jc w:val="right"/>
              <w:rPr>
                <w:rFonts w:ascii="Calibri" w:eastAsia="Times New Roman" w:hAnsi="Calibri" w:cs="Calibri"/>
                <w:b/>
                <w:bCs/>
                <w:color w:val="FFFFFF"/>
                <w:sz w:val="16"/>
                <w:szCs w:val="16"/>
              </w:rPr>
            </w:pPr>
          </w:p>
        </w:tc>
        <w:tc>
          <w:tcPr>
            <w:tcW w:w="1633" w:type="pct"/>
            <w:tcBorders>
              <w:top w:val="single" w:sz="4" w:space="0" w:color="000000"/>
              <w:left w:val="nil"/>
              <w:bottom w:val="single" w:sz="4" w:space="0" w:color="000000"/>
              <w:right w:val="single" w:sz="4" w:space="0" w:color="000000"/>
            </w:tcBorders>
            <w:shd w:val="clear" w:color="auto" w:fill="1F497D"/>
            <w:noWrap/>
            <w:vAlign w:val="center"/>
          </w:tcPr>
          <w:p w:rsidR="00C638C8" w:rsidRPr="00776CB6" w:rsidRDefault="00C638C8" w:rsidP="00720725">
            <w:pPr>
              <w:jc w:val="center"/>
              <w:rPr>
                <w:rFonts w:ascii="Calibri" w:eastAsia="Times New Roman" w:hAnsi="Calibri" w:cs="Calibri"/>
                <w:b/>
                <w:color w:val="FFFFFF"/>
                <w:sz w:val="16"/>
                <w:szCs w:val="16"/>
              </w:rPr>
            </w:pPr>
            <w:r w:rsidRPr="00776CB6">
              <w:rPr>
                <w:rFonts w:ascii="Calibri" w:eastAsia="Times New Roman" w:hAnsi="Calibri" w:cs="Calibri"/>
                <w:b/>
                <w:color w:val="FFFFFF"/>
                <w:sz w:val="18"/>
                <w:szCs w:val="16"/>
              </w:rPr>
              <w:t>TOTAAL LEGESVERORDENING</w:t>
            </w:r>
          </w:p>
        </w:tc>
        <w:tc>
          <w:tcPr>
            <w:tcW w:w="817" w:type="pct"/>
            <w:tcBorders>
              <w:top w:val="single" w:sz="4" w:space="0" w:color="000000"/>
              <w:left w:val="nil"/>
              <w:bottom w:val="single" w:sz="4" w:space="0" w:color="000000"/>
              <w:right w:val="single" w:sz="4" w:space="0" w:color="000000"/>
            </w:tcBorders>
            <w:shd w:val="clear" w:color="auto" w:fill="1F497D"/>
            <w:vAlign w:val="center"/>
          </w:tcPr>
          <w:p w:rsidR="00C638C8" w:rsidRPr="00200EBA" w:rsidRDefault="00C638C8" w:rsidP="00C638C8">
            <w:pPr>
              <w:jc w:val="center"/>
              <w:rPr>
                <w:rFonts w:ascii="Calibri" w:eastAsia="Times New Roman" w:hAnsi="Calibri" w:cs="Calibri"/>
                <w:b/>
                <w:color w:val="FFFFFF"/>
                <w:sz w:val="18"/>
                <w:szCs w:val="16"/>
              </w:rPr>
            </w:pPr>
            <w:r w:rsidRPr="00C638C8">
              <w:rPr>
                <w:rFonts w:ascii="Calibri" w:eastAsia="Times New Roman" w:hAnsi="Calibri" w:cs="Calibri"/>
                <w:b/>
                <w:color w:val="FFFFFF"/>
                <w:sz w:val="18"/>
                <w:szCs w:val="16"/>
              </w:rPr>
              <w:t>€       1.945.785</w:t>
            </w:r>
          </w:p>
        </w:tc>
        <w:tc>
          <w:tcPr>
            <w:tcW w:w="817" w:type="pct"/>
            <w:tcBorders>
              <w:top w:val="single" w:sz="4" w:space="0" w:color="000000"/>
              <w:left w:val="single" w:sz="4" w:space="0" w:color="000000"/>
              <w:bottom w:val="single" w:sz="4" w:space="0" w:color="000000"/>
              <w:right w:val="single" w:sz="4" w:space="0" w:color="000000"/>
            </w:tcBorders>
            <w:shd w:val="clear" w:color="auto" w:fill="1F497D"/>
            <w:vAlign w:val="center"/>
          </w:tcPr>
          <w:p w:rsidR="00C638C8" w:rsidRPr="00776CB6" w:rsidRDefault="00C638C8" w:rsidP="00720725">
            <w:pPr>
              <w:jc w:val="center"/>
              <w:rPr>
                <w:rFonts w:ascii="Calibri" w:eastAsia="Times New Roman" w:hAnsi="Calibri" w:cs="Calibri"/>
                <w:b/>
                <w:color w:val="FFFFFF"/>
                <w:sz w:val="18"/>
                <w:szCs w:val="16"/>
              </w:rPr>
            </w:pPr>
            <w:r w:rsidRPr="00776CB6">
              <w:rPr>
                <w:rFonts w:ascii="Calibri" w:eastAsia="Times New Roman" w:hAnsi="Calibri" w:cs="Calibri"/>
                <w:b/>
                <w:color w:val="FFFFFF"/>
                <w:sz w:val="18"/>
                <w:szCs w:val="16"/>
              </w:rPr>
              <w:t>€ 2.068.865,00</w:t>
            </w:r>
          </w:p>
        </w:tc>
        <w:tc>
          <w:tcPr>
            <w:tcW w:w="1028" w:type="pct"/>
            <w:tcBorders>
              <w:top w:val="single" w:sz="4" w:space="0" w:color="000000"/>
              <w:left w:val="single" w:sz="4" w:space="0" w:color="000000"/>
              <w:bottom w:val="single" w:sz="4" w:space="0" w:color="000000"/>
            </w:tcBorders>
            <w:shd w:val="clear" w:color="auto" w:fill="1F497D"/>
            <w:noWrap/>
            <w:vAlign w:val="center"/>
          </w:tcPr>
          <w:p w:rsidR="00C638C8" w:rsidRPr="00776CB6" w:rsidRDefault="00C638C8" w:rsidP="00C638C8">
            <w:pPr>
              <w:jc w:val="center"/>
              <w:rPr>
                <w:rFonts w:ascii="Calibri" w:eastAsia="Times New Roman" w:hAnsi="Calibri" w:cs="Calibri"/>
                <w:b/>
                <w:color w:val="FFFFFF"/>
                <w:sz w:val="18"/>
                <w:szCs w:val="16"/>
              </w:rPr>
            </w:pPr>
            <w:r w:rsidRPr="00C638C8">
              <w:rPr>
                <w:rFonts w:ascii="Calibri" w:eastAsia="Times New Roman" w:hAnsi="Calibri" w:cs="Calibri"/>
                <w:b/>
                <w:color w:val="FFFFFF"/>
                <w:sz w:val="18"/>
                <w:szCs w:val="16"/>
              </w:rPr>
              <w:t>€       123.080</w:t>
            </w:r>
          </w:p>
        </w:tc>
      </w:tr>
    </w:tbl>
    <w:p w:rsidR="0006161E" w:rsidRDefault="0006161E" w:rsidP="00C869CC">
      <w:pPr>
        <w:rPr>
          <w:sz w:val="16"/>
        </w:rPr>
      </w:pPr>
    </w:p>
    <w:p w:rsidR="00C869CC" w:rsidRPr="0006161E" w:rsidRDefault="00C869CC" w:rsidP="00C869CC">
      <w:pPr>
        <w:rPr>
          <w:color w:val="FF0000"/>
          <w:sz w:val="16"/>
        </w:rPr>
      </w:pPr>
      <w:r w:rsidRPr="0006161E">
        <w:rPr>
          <w:sz w:val="16"/>
        </w:rPr>
        <w:t>De Opbrengsten zoals in de begroting van 2018 opgenomen komen in redelijke mate overeen met de werkelijke legesopbrengsten</w:t>
      </w:r>
      <w:r w:rsidR="00A75181" w:rsidRPr="0006161E">
        <w:rPr>
          <w:sz w:val="16"/>
        </w:rPr>
        <w:t>. De grootste uitzondering zijn de opbrengsten uit titel 2: bouwleges. Bij de 2</w:t>
      </w:r>
      <w:r w:rsidR="00A75181" w:rsidRPr="0006161E">
        <w:rPr>
          <w:sz w:val="16"/>
          <w:vertAlign w:val="superscript"/>
        </w:rPr>
        <w:t>e</w:t>
      </w:r>
      <w:r w:rsidR="00A75181" w:rsidRPr="0006161E">
        <w:rPr>
          <w:sz w:val="16"/>
        </w:rPr>
        <w:t xml:space="preserve"> afwijkingen rapportage was reeds een overschrijding gemeld van € 100.000 (incidenteel)</w:t>
      </w:r>
      <w:r w:rsidR="00817A48" w:rsidRPr="0006161E">
        <w:rPr>
          <w:sz w:val="16"/>
        </w:rPr>
        <w:t>.</w:t>
      </w:r>
      <w:r w:rsidR="00A75181" w:rsidRPr="0006161E">
        <w:rPr>
          <w:sz w:val="16"/>
        </w:rPr>
        <w:t xml:space="preserve"> </w:t>
      </w:r>
      <w:r w:rsidR="00720725" w:rsidRPr="0006161E">
        <w:rPr>
          <w:sz w:val="16"/>
        </w:rPr>
        <w:t xml:space="preserve">We adviseren om de begroting van de </w:t>
      </w:r>
      <w:r w:rsidR="009B3388" w:rsidRPr="0006161E">
        <w:rPr>
          <w:sz w:val="16"/>
        </w:rPr>
        <w:t>bouw</w:t>
      </w:r>
      <w:r w:rsidR="00720725" w:rsidRPr="0006161E">
        <w:rPr>
          <w:sz w:val="16"/>
        </w:rPr>
        <w:t xml:space="preserve">leges </w:t>
      </w:r>
      <w:r w:rsidR="009B3388" w:rsidRPr="0006161E">
        <w:rPr>
          <w:sz w:val="16"/>
        </w:rPr>
        <w:t>te blijven monitoren,  de prognose te blijven actualiseren waar nodig en aanpassingen te verwerken in de legesverordening 2020</w:t>
      </w:r>
      <w:r w:rsidR="00B421AA" w:rsidRPr="0006161E">
        <w:rPr>
          <w:sz w:val="16"/>
        </w:rPr>
        <w:t xml:space="preserve"> </w:t>
      </w:r>
      <w:r w:rsidR="009B3388" w:rsidRPr="0006161E">
        <w:rPr>
          <w:sz w:val="16"/>
        </w:rPr>
        <w:t xml:space="preserve">en de begroting 2020 en verder. </w:t>
      </w:r>
    </w:p>
    <w:p w:rsidR="00C869CC" w:rsidRPr="0006161E" w:rsidRDefault="00C869CC" w:rsidP="00C869CC">
      <w:pPr>
        <w:rPr>
          <w:sz w:val="16"/>
        </w:rPr>
      </w:pPr>
    </w:p>
    <w:p w:rsidR="00C869CC" w:rsidRDefault="00C869CC" w:rsidP="00C869CC"/>
    <w:p w:rsidR="00C869CC" w:rsidRDefault="00C869CC" w:rsidP="00C869CC"/>
    <w:p w:rsidR="00C869CC" w:rsidRDefault="00C869CC" w:rsidP="00C869CC"/>
    <w:p w:rsidR="00AF7ABA" w:rsidRPr="00C25D3B" w:rsidRDefault="00AF7ABA" w:rsidP="007E7A2C">
      <w:pPr>
        <w:pStyle w:val="Kop1"/>
        <w:rPr>
          <w:rFonts w:ascii="Calibri" w:hAnsi="Calibri" w:cs="Calibri"/>
          <w:color w:val="C00000"/>
          <w:sz w:val="24"/>
          <w:szCs w:val="24"/>
        </w:rPr>
      </w:pPr>
      <w:r w:rsidRPr="00C25D3B">
        <w:rPr>
          <w:rFonts w:ascii="Calibri" w:hAnsi="Calibri" w:cs="Calibri"/>
          <w:color w:val="C00000"/>
          <w:sz w:val="24"/>
          <w:szCs w:val="24"/>
        </w:rPr>
        <w:lastRenderedPageBreak/>
        <w:t xml:space="preserve">Berekening </w:t>
      </w:r>
      <w:r w:rsidR="00BC4420" w:rsidRPr="00C25D3B">
        <w:rPr>
          <w:rFonts w:ascii="Calibri" w:hAnsi="Calibri" w:cs="Calibri"/>
          <w:color w:val="C00000"/>
          <w:sz w:val="24"/>
          <w:szCs w:val="24"/>
        </w:rPr>
        <w:t>kostendekkendheid</w:t>
      </w:r>
      <w:bookmarkEnd w:id="11"/>
      <w:bookmarkEnd w:id="12"/>
      <w:bookmarkEnd w:id="13"/>
      <w:bookmarkEnd w:id="14"/>
      <w:bookmarkEnd w:id="15"/>
      <w:bookmarkEnd w:id="16"/>
      <w:bookmarkEnd w:id="17"/>
    </w:p>
    <w:p w:rsidR="008C5233" w:rsidRPr="00C25D3B" w:rsidRDefault="008C5233" w:rsidP="008C5233">
      <w:pPr>
        <w:pStyle w:val="Kop3"/>
        <w:rPr>
          <w:rFonts w:ascii="Calibri" w:hAnsi="Calibri" w:cs="Calibri"/>
          <w:sz w:val="22"/>
          <w:szCs w:val="22"/>
        </w:rPr>
      </w:pPr>
      <w:bookmarkStart w:id="18" w:name="_Toc332973643"/>
      <w:bookmarkStart w:id="19" w:name="_Toc332973732"/>
      <w:bookmarkStart w:id="20" w:name="_Toc332973758"/>
      <w:bookmarkStart w:id="21" w:name="_Toc332973860"/>
      <w:bookmarkStart w:id="22" w:name="_Toc332973908"/>
      <w:bookmarkStart w:id="23" w:name="_Toc332973966"/>
      <w:bookmarkStart w:id="24" w:name="_Toc490832322"/>
      <w:r w:rsidRPr="00C25D3B">
        <w:rPr>
          <w:rFonts w:ascii="Calibri" w:hAnsi="Calibri" w:cs="Calibri"/>
          <w:sz w:val="22"/>
          <w:szCs w:val="22"/>
        </w:rPr>
        <w:t>Titel 1 algemene dienstverlening</w:t>
      </w:r>
      <w:bookmarkEnd w:id="18"/>
      <w:bookmarkEnd w:id="19"/>
      <w:bookmarkEnd w:id="20"/>
      <w:bookmarkEnd w:id="21"/>
      <w:bookmarkEnd w:id="22"/>
      <w:bookmarkEnd w:id="23"/>
      <w:bookmarkEnd w:id="24"/>
    </w:p>
    <w:p w:rsidR="00F153E6" w:rsidRPr="00BC79D8" w:rsidRDefault="00F153E6" w:rsidP="00F153E6">
      <w:bookmarkStart w:id="25" w:name="_Toc332973645"/>
      <w:bookmarkStart w:id="26" w:name="_Toc332973734"/>
      <w:bookmarkStart w:id="27" w:name="_Toc332973760"/>
      <w:bookmarkStart w:id="28" w:name="_Toc332973862"/>
      <w:bookmarkStart w:id="29" w:name="_Toc332973910"/>
      <w:bookmarkStart w:id="30" w:name="_Toc332973968"/>
    </w:p>
    <w:tbl>
      <w:tblPr>
        <w:tblW w:w="9140" w:type="dxa"/>
        <w:tblInd w:w="55" w:type="dxa"/>
        <w:tblCellMar>
          <w:left w:w="70" w:type="dxa"/>
          <w:right w:w="70" w:type="dxa"/>
        </w:tblCellMar>
        <w:tblLook w:val="04A0" w:firstRow="1" w:lastRow="0" w:firstColumn="1" w:lastColumn="0" w:noHBand="0" w:noVBand="1"/>
      </w:tblPr>
      <w:tblGrid>
        <w:gridCol w:w="1321"/>
        <w:gridCol w:w="371"/>
        <w:gridCol w:w="3680"/>
        <w:gridCol w:w="1256"/>
        <w:gridCol w:w="1256"/>
        <w:gridCol w:w="1256"/>
      </w:tblGrid>
      <w:tr w:rsidR="00817A48" w:rsidRPr="00817A48" w:rsidTr="00485B3F">
        <w:trPr>
          <w:trHeight w:val="300"/>
        </w:trPr>
        <w:tc>
          <w:tcPr>
            <w:tcW w:w="5372" w:type="dxa"/>
            <w:gridSpan w:val="3"/>
            <w:tcBorders>
              <w:top w:val="single" w:sz="8" w:space="0" w:color="auto"/>
              <w:left w:val="single" w:sz="8" w:space="0" w:color="auto"/>
              <w:bottom w:val="nil"/>
              <w:right w:val="single" w:sz="4" w:space="0" w:color="000000"/>
            </w:tcBorders>
            <w:shd w:val="clear" w:color="000000" w:fill="1F497D" w:themeFill="text2"/>
            <w:noWrap/>
            <w:vAlign w:val="bottom"/>
            <w:hideMark/>
          </w:tcPr>
          <w:p w:rsidR="00504011" w:rsidRPr="00817A48" w:rsidRDefault="00504011" w:rsidP="00504011">
            <w:pPr>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Titel 1 Algemene dienstverlening</w:t>
            </w:r>
          </w:p>
        </w:tc>
        <w:tc>
          <w:tcPr>
            <w:tcW w:w="1256" w:type="dxa"/>
            <w:tcBorders>
              <w:top w:val="single" w:sz="8" w:space="0" w:color="auto"/>
              <w:left w:val="nil"/>
              <w:bottom w:val="nil"/>
              <w:right w:val="single" w:sz="4" w:space="0" w:color="000000"/>
            </w:tcBorders>
            <w:shd w:val="clear" w:color="000000" w:fill="1F497D" w:themeFill="text2"/>
            <w:noWrap/>
            <w:vAlign w:val="bottom"/>
            <w:hideMark/>
          </w:tcPr>
          <w:p w:rsidR="00504011" w:rsidRPr="00817A48" w:rsidRDefault="00504011" w:rsidP="00504011">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Lasten</w:t>
            </w:r>
          </w:p>
        </w:tc>
        <w:tc>
          <w:tcPr>
            <w:tcW w:w="1256" w:type="dxa"/>
            <w:tcBorders>
              <w:top w:val="single" w:sz="8" w:space="0" w:color="auto"/>
              <w:left w:val="nil"/>
              <w:bottom w:val="nil"/>
              <w:right w:val="single" w:sz="4" w:space="0" w:color="000000"/>
            </w:tcBorders>
            <w:shd w:val="clear" w:color="000000" w:fill="1F497D" w:themeFill="text2"/>
            <w:noWrap/>
            <w:vAlign w:val="bottom"/>
            <w:hideMark/>
          </w:tcPr>
          <w:p w:rsidR="00504011" w:rsidRPr="00817A48" w:rsidRDefault="00504011" w:rsidP="00504011">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Baten</w:t>
            </w:r>
          </w:p>
        </w:tc>
        <w:tc>
          <w:tcPr>
            <w:tcW w:w="1256" w:type="dxa"/>
            <w:tcBorders>
              <w:top w:val="single" w:sz="8" w:space="0" w:color="auto"/>
              <w:left w:val="nil"/>
              <w:bottom w:val="nil"/>
              <w:right w:val="single" w:sz="4" w:space="0" w:color="000000"/>
            </w:tcBorders>
            <w:shd w:val="clear" w:color="000000" w:fill="1F497D" w:themeFill="text2"/>
            <w:noWrap/>
            <w:vAlign w:val="bottom"/>
            <w:hideMark/>
          </w:tcPr>
          <w:p w:rsidR="00504011" w:rsidRPr="00817A48" w:rsidRDefault="00504011" w:rsidP="00504011">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Kostendekking</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Burgerlijke stand</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€ 62.700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€ 68.421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109,12%</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2</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Reisdocumenten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€ 452.192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€ 451.475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99,84%</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3</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Rijbewijzen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€ 181.245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€ 194.354</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107,23%</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4</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Verstrekkingen uit basisregistratie personen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€ 18.189</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€ 12.483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68,63%</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5</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Verstrekkingen op grond van de Algemene Verordening Gegevensverwerking of AVG</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6</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proofErr w:type="spellStart"/>
            <w:r w:rsidRPr="00504011">
              <w:rPr>
                <w:rFonts w:ascii="Calibri" w:eastAsia="Times New Roman" w:hAnsi="Calibri" w:cs="Calibri"/>
                <w:sz w:val="16"/>
                <w:szCs w:val="16"/>
              </w:rPr>
              <w:t>Bestuursstukken</w:t>
            </w:r>
            <w:proofErr w:type="spellEnd"/>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7</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Vastgoedinformatie</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8</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Overige publiekszaken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€ 37.180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€ 26.331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70,82%</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9</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Gemeentearchief</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10</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Leegstandswet</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€ 854</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€ 1.002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117,33%</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11</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Gemeentegarantie</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12</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Winkeltijdenwet</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13</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Kansspelen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€ 9.683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€ 5.743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59,31%</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14</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Ondergrondse infrastructuren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€ 61.436</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€ 54.485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88,69%</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15</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Verkeer en vervoer</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€ 13.483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€ 17.308</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128,37%</w:t>
            </w:r>
          </w:p>
        </w:tc>
      </w:tr>
      <w:tr w:rsidR="00504011" w:rsidRPr="00504011" w:rsidTr="00485B3F">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16</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Diversen</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€ 49.219</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€ 52.981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107,64%</w:t>
            </w:r>
          </w:p>
        </w:tc>
      </w:tr>
      <w:tr w:rsidR="00504011" w:rsidRPr="00817A48" w:rsidTr="00485B3F">
        <w:trPr>
          <w:trHeight w:val="315"/>
        </w:trPr>
        <w:tc>
          <w:tcPr>
            <w:tcW w:w="5372" w:type="dxa"/>
            <w:gridSpan w:val="3"/>
            <w:tcBorders>
              <w:top w:val="single" w:sz="4" w:space="0" w:color="000000"/>
              <w:left w:val="single" w:sz="8" w:space="0" w:color="auto"/>
              <w:bottom w:val="single" w:sz="8" w:space="0" w:color="auto"/>
              <w:right w:val="single" w:sz="4" w:space="0" w:color="000000"/>
            </w:tcBorders>
            <w:shd w:val="clear" w:color="auto" w:fill="1F497D" w:themeFill="text2"/>
            <w:noWrap/>
            <w:vAlign w:val="bottom"/>
            <w:hideMark/>
          </w:tcPr>
          <w:p w:rsidR="00504011" w:rsidRPr="00817A48" w:rsidRDefault="00504011" w:rsidP="00504011">
            <w:pPr>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Kostendekking Titel 1</w:t>
            </w:r>
          </w:p>
        </w:tc>
        <w:tc>
          <w:tcPr>
            <w:tcW w:w="1256" w:type="dxa"/>
            <w:tcBorders>
              <w:top w:val="nil"/>
              <w:left w:val="nil"/>
              <w:bottom w:val="single" w:sz="8" w:space="0" w:color="auto"/>
              <w:right w:val="single" w:sz="4" w:space="0" w:color="000000"/>
            </w:tcBorders>
            <w:shd w:val="clear" w:color="auto" w:fill="1F497D" w:themeFill="text2"/>
            <w:noWrap/>
            <w:vAlign w:val="center"/>
            <w:hideMark/>
          </w:tcPr>
          <w:p w:rsidR="00504011" w:rsidRPr="00817A48" w:rsidRDefault="00504011" w:rsidP="00817A48">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€ 886.181</w:t>
            </w:r>
          </w:p>
        </w:tc>
        <w:tc>
          <w:tcPr>
            <w:tcW w:w="1256" w:type="dxa"/>
            <w:tcBorders>
              <w:top w:val="nil"/>
              <w:left w:val="nil"/>
              <w:bottom w:val="single" w:sz="8" w:space="0" w:color="auto"/>
              <w:right w:val="single" w:sz="4" w:space="0" w:color="000000"/>
            </w:tcBorders>
            <w:shd w:val="clear" w:color="auto" w:fill="1F497D" w:themeFill="text2"/>
            <w:noWrap/>
            <w:vAlign w:val="center"/>
            <w:hideMark/>
          </w:tcPr>
          <w:p w:rsidR="00504011" w:rsidRPr="00817A48" w:rsidRDefault="00504011" w:rsidP="00817A48">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€ 884.583</w:t>
            </w:r>
          </w:p>
        </w:tc>
        <w:tc>
          <w:tcPr>
            <w:tcW w:w="1256" w:type="dxa"/>
            <w:tcBorders>
              <w:top w:val="nil"/>
              <w:left w:val="nil"/>
              <w:bottom w:val="single" w:sz="8" w:space="0" w:color="auto"/>
              <w:right w:val="single" w:sz="4" w:space="0" w:color="000000"/>
            </w:tcBorders>
            <w:shd w:val="clear" w:color="auto" w:fill="1F497D" w:themeFill="text2"/>
            <w:noWrap/>
            <w:vAlign w:val="center"/>
            <w:hideMark/>
          </w:tcPr>
          <w:p w:rsidR="00504011" w:rsidRPr="00817A48" w:rsidRDefault="00504011" w:rsidP="00817A48">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99,82%</w:t>
            </w:r>
          </w:p>
        </w:tc>
      </w:tr>
    </w:tbl>
    <w:p w:rsidR="00F153E6" w:rsidRPr="00F153E6" w:rsidRDefault="00F153E6" w:rsidP="00F153E6">
      <w:pPr>
        <w:rPr>
          <w:rFonts w:ascii="Calibri" w:hAnsi="Calibri" w:cs="Calibri"/>
          <w:b/>
          <w:sz w:val="22"/>
          <w:szCs w:val="22"/>
        </w:rPr>
      </w:pPr>
      <w:bookmarkStart w:id="31" w:name="RANGE!A2:F57"/>
      <w:bookmarkEnd w:id="31"/>
    </w:p>
    <w:bookmarkEnd w:id="25"/>
    <w:bookmarkEnd w:id="26"/>
    <w:bookmarkEnd w:id="27"/>
    <w:bookmarkEnd w:id="28"/>
    <w:bookmarkEnd w:id="29"/>
    <w:bookmarkEnd w:id="30"/>
    <w:p w:rsidR="005B592F" w:rsidRDefault="005B592F" w:rsidP="000E6AA5">
      <w:pPr>
        <w:spacing w:line="360" w:lineRule="auto"/>
        <w:rPr>
          <w:rFonts w:ascii="Calibri" w:hAnsi="Calibri" w:cs="Calibri"/>
          <w:b/>
          <w:color w:val="000000"/>
          <w:sz w:val="22"/>
          <w:szCs w:val="22"/>
        </w:rPr>
      </w:pPr>
      <w:r>
        <w:rPr>
          <w:rFonts w:ascii="Calibri" w:hAnsi="Calibri" w:cs="Calibri"/>
          <w:b/>
          <w:color w:val="000000"/>
          <w:sz w:val="22"/>
          <w:szCs w:val="22"/>
        </w:rPr>
        <w:t>Toelichting:</w:t>
      </w:r>
    </w:p>
    <w:p w:rsidR="00E7641B" w:rsidRPr="005B592F" w:rsidRDefault="00FA043D" w:rsidP="000E6AA5">
      <w:pPr>
        <w:spacing w:line="360" w:lineRule="auto"/>
        <w:rPr>
          <w:rFonts w:ascii="Calibri" w:hAnsi="Calibri" w:cs="Calibri"/>
          <w:b/>
          <w:color w:val="000000"/>
          <w:sz w:val="22"/>
          <w:szCs w:val="22"/>
        </w:rPr>
      </w:pPr>
      <w:r w:rsidRPr="005B592F">
        <w:rPr>
          <w:rFonts w:ascii="Calibri" w:hAnsi="Calibri" w:cs="Calibri"/>
          <w:color w:val="000000"/>
          <w:sz w:val="22"/>
          <w:szCs w:val="22"/>
        </w:rPr>
        <w:t xml:space="preserve">Bij titel 1 is </w:t>
      </w:r>
      <w:r w:rsidR="005B592F" w:rsidRPr="005B592F">
        <w:rPr>
          <w:rFonts w:ascii="Calibri" w:hAnsi="Calibri" w:cs="Calibri"/>
          <w:color w:val="000000"/>
          <w:sz w:val="22"/>
          <w:szCs w:val="22"/>
        </w:rPr>
        <w:t xml:space="preserve">geen tot </w:t>
      </w:r>
      <w:r w:rsidRPr="005B592F">
        <w:rPr>
          <w:rFonts w:ascii="Calibri" w:hAnsi="Calibri" w:cs="Calibri"/>
          <w:color w:val="000000"/>
          <w:sz w:val="22"/>
          <w:szCs w:val="22"/>
        </w:rPr>
        <w:t xml:space="preserve">weinig ruimte om de tarieven te verhogen omdat de opbrengsten voornamelijk veroorzaakt worden door paspoorten en rijbewijzen. </w:t>
      </w:r>
      <w:r w:rsidR="00C844BB">
        <w:rPr>
          <w:rFonts w:ascii="Calibri" w:hAnsi="Calibri" w:cs="Calibri"/>
          <w:color w:val="000000"/>
          <w:sz w:val="22"/>
          <w:szCs w:val="22"/>
        </w:rPr>
        <w:t xml:space="preserve"> </w:t>
      </w:r>
    </w:p>
    <w:p w:rsidR="008C5233" w:rsidRPr="00C25D3B" w:rsidRDefault="00E7641B" w:rsidP="008C5233">
      <w:pPr>
        <w:pStyle w:val="Kop3"/>
        <w:rPr>
          <w:rFonts w:ascii="Calibri" w:hAnsi="Calibri" w:cs="Calibri"/>
          <w:sz w:val="22"/>
          <w:szCs w:val="22"/>
        </w:rPr>
      </w:pPr>
      <w:bookmarkStart w:id="32" w:name="_Toc332973649"/>
      <w:bookmarkStart w:id="33" w:name="_Toc332973738"/>
      <w:bookmarkStart w:id="34" w:name="_Toc332973764"/>
      <w:bookmarkStart w:id="35" w:name="_Toc332973866"/>
      <w:bookmarkStart w:id="36" w:name="_Toc332973914"/>
      <w:bookmarkStart w:id="37" w:name="_Toc332973972"/>
      <w:r w:rsidRPr="00C25D3B">
        <w:rPr>
          <w:rFonts w:ascii="Calibri" w:hAnsi="Calibri" w:cs="Calibri"/>
          <w:sz w:val="22"/>
          <w:szCs w:val="22"/>
        </w:rPr>
        <w:br w:type="page"/>
      </w:r>
      <w:bookmarkStart w:id="38" w:name="_Toc490832323"/>
      <w:r w:rsidR="008C5233" w:rsidRPr="00C25D3B">
        <w:rPr>
          <w:rFonts w:ascii="Calibri" w:hAnsi="Calibri" w:cs="Calibri"/>
          <w:sz w:val="22"/>
          <w:szCs w:val="22"/>
        </w:rPr>
        <w:lastRenderedPageBreak/>
        <w:t>Titel 2 dienstverlening vallend onder fysieke leefomgeving/omgevingsvergunning</w:t>
      </w:r>
      <w:bookmarkEnd w:id="32"/>
      <w:bookmarkEnd w:id="33"/>
      <w:bookmarkEnd w:id="34"/>
      <w:bookmarkEnd w:id="35"/>
      <w:bookmarkEnd w:id="36"/>
      <w:bookmarkEnd w:id="37"/>
      <w:bookmarkEnd w:id="38"/>
    </w:p>
    <w:p w:rsidR="00F153E6" w:rsidRPr="00F153E6" w:rsidRDefault="00F153E6" w:rsidP="00F153E6">
      <w:pPr>
        <w:rPr>
          <w:rFonts w:ascii="Calibri" w:hAnsi="Calibri" w:cs="Calibri"/>
          <w:sz w:val="22"/>
          <w:szCs w:val="22"/>
        </w:rPr>
      </w:pPr>
      <w:bookmarkStart w:id="39" w:name="_Toc332973651"/>
      <w:bookmarkStart w:id="40" w:name="_Toc332973740"/>
      <w:bookmarkStart w:id="41" w:name="_Toc332973766"/>
      <w:bookmarkStart w:id="42" w:name="_Toc332973868"/>
      <w:bookmarkStart w:id="43" w:name="_Toc332973916"/>
      <w:bookmarkStart w:id="44" w:name="_Toc332973974"/>
    </w:p>
    <w:tbl>
      <w:tblPr>
        <w:tblW w:w="9140" w:type="dxa"/>
        <w:tblInd w:w="55" w:type="dxa"/>
        <w:tblCellMar>
          <w:left w:w="70" w:type="dxa"/>
          <w:right w:w="70" w:type="dxa"/>
        </w:tblCellMar>
        <w:tblLook w:val="04A0" w:firstRow="1" w:lastRow="0" w:firstColumn="1" w:lastColumn="0" w:noHBand="0" w:noVBand="1"/>
      </w:tblPr>
      <w:tblGrid>
        <w:gridCol w:w="1321"/>
        <w:gridCol w:w="371"/>
        <w:gridCol w:w="3680"/>
        <w:gridCol w:w="1256"/>
        <w:gridCol w:w="1256"/>
        <w:gridCol w:w="1256"/>
      </w:tblGrid>
      <w:tr w:rsidR="00817A48" w:rsidRPr="00817A48" w:rsidTr="00817A48">
        <w:trPr>
          <w:trHeight w:val="300"/>
        </w:trPr>
        <w:tc>
          <w:tcPr>
            <w:tcW w:w="5300" w:type="dxa"/>
            <w:gridSpan w:val="3"/>
            <w:tcBorders>
              <w:top w:val="single" w:sz="8" w:space="0" w:color="auto"/>
              <w:left w:val="single" w:sz="8" w:space="0" w:color="auto"/>
              <w:bottom w:val="nil"/>
              <w:right w:val="single" w:sz="4" w:space="0" w:color="000000"/>
            </w:tcBorders>
            <w:shd w:val="clear" w:color="000000" w:fill="1F497D" w:themeFill="text2"/>
            <w:noWrap/>
            <w:vAlign w:val="bottom"/>
            <w:hideMark/>
          </w:tcPr>
          <w:p w:rsidR="00C844BB" w:rsidRPr="00817A48" w:rsidRDefault="00C844BB" w:rsidP="00C844BB">
            <w:pPr>
              <w:rPr>
                <w:rFonts w:ascii="Calibri" w:eastAsia="Times New Roman" w:hAnsi="Calibri" w:cs="Calibri"/>
                <w:b/>
                <w:bCs/>
                <w:color w:val="FFFFFF" w:themeColor="background1"/>
                <w:sz w:val="16"/>
                <w:szCs w:val="16"/>
              </w:rPr>
            </w:pPr>
            <w:bookmarkStart w:id="45" w:name="_Toc332973650"/>
            <w:bookmarkStart w:id="46" w:name="_Toc332973739"/>
            <w:bookmarkStart w:id="47" w:name="_Toc332973765"/>
            <w:bookmarkStart w:id="48" w:name="_Toc332973867"/>
            <w:bookmarkStart w:id="49" w:name="_Toc332973915"/>
            <w:bookmarkStart w:id="50" w:name="_Toc332973973"/>
            <w:r w:rsidRPr="00817A48">
              <w:rPr>
                <w:rFonts w:ascii="Calibri" w:eastAsia="Times New Roman" w:hAnsi="Calibri" w:cs="Calibri"/>
                <w:b/>
                <w:bCs/>
                <w:color w:val="FFFFFF" w:themeColor="background1"/>
                <w:sz w:val="16"/>
                <w:szCs w:val="16"/>
              </w:rPr>
              <w:t>Titel 2 Fysieke leefomgeving / omgevingsvergunning</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Lasten</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Baten</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Kostendekking</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1</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Begripsomschrijvingen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2</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Omgevingsvergunning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€ 1.544.104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€ 1.177.876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76,28%</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3</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Vermindering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4</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Wijziging omgevingsvergunning als gevolg van wijziging project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5</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Bestemmingswijzigingen zonder activiteiten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C844BB" w:rsidRPr="00504011" w:rsidTr="00C844BB">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6</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C844BB" w:rsidRPr="00504011" w:rsidRDefault="00C844BB" w:rsidP="00C844BB">
            <w:pPr>
              <w:rPr>
                <w:rFonts w:ascii="Calibri" w:eastAsia="Times New Roman" w:hAnsi="Calibri" w:cs="Calibri"/>
                <w:sz w:val="16"/>
                <w:szCs w:val="16"/>
              </w:rPr>
            </w:pPr>
            <w:r w:rsidRPr="00504011">
              <w:rPr>
                <w:rFonts w:ascii="Calibri" w:eastAsia="Times New Roman" w:hAnsi="Calibri" w:cs="Calibri"/>
                <w:sz w:val="16"/>
                <w:szCs w:val="16"/>
              </w:rPr>
              <w:t>In deze titel niet benoemde beschikking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844BB" w:rsidRPr="00504011" w:rsidRDefault="00C844BB" w:rsidP="00C844BB">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817A48" w:rsidRPr="00817A48" w:rsidTr="00817A48">
        <w:trPr>
          <w:trHeight w:val="315"/>
        </w:trPr>
        <w:tc>
          <w:tcPr>
            <w:tcW w:w="5300" w:type="dxa"/>
            <w:gridSpan w:val="3"/>
            <w:tcBorders>
              <w:top w:val="single" w:sz="4" w:space="0" w:color="000000"/>
              <w:left w:val="single" w:sz="8" w:space="0" w:color="auto"/>
              <w:bottom w:val="single" w:sz="8" w:space="0" w:color="auto"/>
              <w:right w:val="single" w:sz="4" w:space="0" w:color="000000"/>
            </w:tcBorders>
            <w:shd w:val="clear" w:color="auto" w:fill="1F497D" w:themeFill="text2"/>
            <w:noWrap/>
            <w:vAlign w:val="bottom"/>
            <w:hideMark/>
          </w:tcPr>
          <w:p w:rsidR="00C844BB" w:rsidRPr="00817A48" w:rsidRDefault="00C844BB" w:rsidP="00C844BB">
            <w:pPr>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Kostendekking Titel 2</w:t>
            </w:r>
          </w:p>
        </w:tc>
        <w:tc>
          <w:tcPr>
            <w:tcW w:w="1240" w:type="dxa"/>
            <w:tcBorders>
              <w:top w:val="nil"/>
              <w:left w:val="nil"/>
              <w:bottom w:val="single" w:sz="8" w:space="0" w:color="auto"/>
              <w:right w:val="single" w:sz="4" w:space="0" w:color="000000"/>
            </w:tcBorders>
            <w:shd w:val="clear" w:color="auto" w:fill="1F497D" w:themeFill="text2"/>
            <w:noWrap/>
            <w:vAlign w:val="center"/>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€ 1.544.104</w:t>
            </w:r>
          </w:p>
        </w:tc>
        <w:tc>
          <w:tcPr>
            <w:tcW w:w="1240" w:type="dxa"/>
            <w:tcBorders>
              <w:top w:val="nil"/>
              <w:left w:val="nil"/>
              <w:bottom w:val="single" w:sz="8" w:space="0" w:color="auto"/>
              <w:right w:val="single" w:sz="4" w:space="0" w:color="000000"/>
            </w:tcBorders>
            <w:shd w:val="clear" w:color="auto" w:fill="1F497D" w:themeFill="text2"/>
            <w:noWrap/>
            <w:vAlign w:val="center"/>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€ 1.177.876</w:t>
            </w:r>
          </w:p>
        </w:tc>
        <w:tc>
          <w:tcPr>
            <w:tcW w:w="1240" w:type="dxa"/>
            <w:tcBorders>
              <w:top w:val="nil"/>
              <w:left w:val="nil"/>
              <w:bottom w:val="single" w:sz="8" w:space="0" w:color="auto"/>
              <w:right w:val="single" w:sz="4" w:space="0" w:color="000000"/>
            </w:tcBorders>
            <w:shd w:val="clear" w:color="auto" w:fill="1F497D" w:themeFill="text2"/>
            <w:noWrap/>
            <w:vAlign w:val="center"/>
            <w:hideMark/>
          </w:tcPr>
          <w:p w:rsidR="00C844BB" w:rsidRPr="00817A48" w:rsidRDefault="00C844BB" w:rsidP="00C844BB">
            <w:pPr>
              <w:jc w:val="right"/>
              <w:rPr>
                <w:rFonts w:ascii="Calibri" w:eastAsia="Times New Roman" w:hAnsi="Calibri" w:cs="Calibri"/>
                <w:b/>
                <w:bCs/>
                <w:color w:val="FFFFFF" w:themeColor="background1"/>
                <w:sz w:val="16"/>
                <w:szCs w:val="16"/>
              </w:rPr>
            </w:pPr>
            <w:r w:rsidRPr="00817A48">
              <w:rPr>
                <w:rFonts w:ascii="Calibri" w:eastAsia="Times New Roman" w:hAnsi="Calibri" w:cs="Calibri"/>
                <w:b/>
                <w:bCs/>
                <w:color w:val="FFFFFF" w:themeColor="background1"/>
                <w:sz w:val="16"/>
                <w:szCs w:val="16"/>
              </w:rPr>
              <w:t>76,28%</w:t>
            </w:r>
          </w:p>
        </w:tc>
      </w:tr>
    </w:tbl>
    <w:p w:rsidR="00F153E6" w:rsidRDefault="00F153E6" w:rsidP="00F153E6">
      <w:pPr>
        <w:pStyle w:val="Tekstzonderopmaak"/>
      </w:pPr>
    </w:p>
    <w:bookmarkEnd w:id="39"/>
    <w:bookmarkEnd w:id="40"/>
    <w:bookmarkEnd w:id="41"/>
    <w:bookmarkEnd w:id="42"/>
    <w:bookmarkEnd w:id="43"/>
    <w:bookmarkEnd w:id="44"/>
    <w:bookmarkEnd w:id="45"/>
    <w:bookmarkEnd w:id="46"/>
    <w:bookmarkEnd w:id="47"/>
    <w:bookmarkEnd w:id="48"/>
    <w:bookmarkEnd w:id="49"/>
    <w:bookmarkEnd w:id="50"/>
    <w:p w:rsidR="00E7641B" w:rsidRDefault="00E7641B" w:rsidP="00E7641B">
      <w:pPr>
        <w:pStyle w:val="Default"/>
        <w:rPr>
          <w:rFonts w:ascii="Calibri" w:hAnsi="Calibri" w:cs="Calibri"/>
          <w:b/>
          <w:sz w:val="22"/>
          <w:szCs w:val="22"/>
        </w:rPr>
      </w:pPr>
      <w:r w:rsidRPr="00C25D3B">
        <w:rPr>
          <w:rFonts w:ascii="Calibri" w:hAnsi="Calibri" w:cs="Calibri"/>
          <w:b/>
          <w:sz w:val="22"/>
          <w:szCs w:val="22"/>
        </w:rPr>
        <w:t>Toelichting</w:t>
      </w:r>
    </w:p>
    <w:p w:rsidR="00D172FB" w:rsidRPr="00C25D3B" w:rsidRDefault="00D172FB" w:rsidP="00E7641B">
      <w:pPr>
        <w:pStyle w:val="Default"/>
        <w:rPr>
          <w:rFonts w:ascii="Calibri" w:hAnsi="Calibri" w:cs="Calibri"/>
          <w:b/>
          <w:sz w:val="22"/>
          <w:szCs w:val="22"/>
        </w:rPr>
      </w:pPr>
    </w:p>
    <w:p w:rsidR="00C844BB" w:rsidRPr="005B592F" w:rsidRDefault="00FA043D" w:rsidP="000E6AA5">
      <w:pPr>
        <w:spacing w:line="360" w:lineRule="auto"/>
        <w:rPr>
          <w:rFonts w:ascii="Calibri" w:hAnsi="Calibri" w:cs="Calibri"/>
          <w:sz w:val="22"/>
          <w:szCs w:val="22"/>
        </w:rPr>
      </w:pPr>
      <w:r w:rsidRPr="005B592F">
        <w:rPr>
          <w:rFonts w:ascii="Calibri" w:hAnsi="Calibri" w:cs="Calibri"/>
          <w:sz w:val="22"/>
          <w:szCs w:val="22"/>
        </w:rPr>
        <w:t xml:space="preserve">De kostendekking </w:t>
      </w:r>
      <w:r w:rsidR="00C844BB" w:rsidRPr="005B592F">
        <w:rPr>
          <w:rFonts w:ascii="Calibri" w:hAnsi="Calibri" w:cs="Calibri"/>
          <w:sz w:val="22"/>
          <w:szCs w:val="22"/>
        </w:rPr>
        <w:t xml:space="preserve">van Titel 2 op basis van de werkelijke resultaten bedraagt in 2018 76,82%. </w:t>
      </w:r>
    </w:p>
    <w:p w:rsidR="00C844BB" w:rsidRDefault="00C844BB" w:rsidP="000E6AA5">
      <w:pPr>
        <w:spacing w:line="360" w:lineRule="auto"/>
        <w:rPr>
          <w:rFonts w:ascii="Calibri" w:hAnsi="Calibri" w:cs="Calibri"/>
          <w:sz w:val="22"/>
          <w:szCs w:val="22"/>
        </w:rPr>
      </w:pPr>
      <w:r w:rsidRPr="005B592F">
        <w:rPr>
          <w:rFonts w:ascii="Calibri" w:hAnsi="Calibri" w:cs="Calibri"/>
          <w:sz w:val="22"/>
          <w:szCs w:val="22"/>
        </w:rPr>
        <w:t xml:space="preserve">De voornaamste oorzaken zijn: </w:t>
      </w:r>
    </w:p>
    <w:p w:rsidR="00D172FB" w:rsidRPr="005B592F" w:rsidRDefault="00D172FB" w:rsidP="000E6AA5">
      <w:pPr>
        <w:spacing w:line="360" w:lineRule="auto"/>
        <w:rPr>
          <w:rFonts w:ascii="Calibri" w:hAnsi="Calibri" w:cs="Calibri"/>
          <w:sz w:val="22"/>
          <w:szCs w:val="22"/>
        </w:rPr>
      </w:pPr>
    </w:p>
    <w:p w:rsidR="00C844BB" w:rsidRPr="005B592F" w:rsidRDefault="00C844BB" w:rsidP="00C844BB">
      <w:pPr>
        <w:numPr>
          <w:ilvl w:val="0"/>
          <w:numId w:val="15"/>
        </w:numPr>
        <w:spacing w:line="360" w:lineRule="auto"/>
        <w:rPr>
          <w:rFonts w:ascii="Calibri" w:hAnsi="Calibri" w:cs="Calibri"/>
          <w:b/>
          <w:sz w:val="22"/>
          <w:szCs w:val="22"/>
        </w:rPr>
      </w:pPr>
      <w:r w:rsidRPr="005B592F">
        <w:rPr>
          <w:rFonts w:ascii="Calibri" w:hAnsi="Calibri" w:cs="Calibri"/>
          <w:b/>
          <w:sz w:val="22"/>
          <w:szCs w:val="22"/>
        </w:rPr>
        <w:t xml:space="preserve">Toename omvang verminderingen van leges en bezwaar. </w:t>
      </w:r>
    </w:p>
    <w:p w:rsidR="00C844BB" w:rsidRPr="005B592F" w:rsidRDefault="00C844BB" w:rsidP="00C844BB">
      <w:pPr>
        <w:spacing w:line="360" w:lineRule="auto"/>
        <w:rPr>
          <w:rFonts w:ascii="Calibri" w:hAnsi="Calibri" w:cs="Calibri"/>
          <w:sz w:val="22"/>
          <w:szCs w:val="22"/>
        </w:rPr>
      </w:pPr>
      <w:r w:rsidRPr="005B592F">
        <w:rPr>
          <w:rFonts w:ascii="Calibri" w:hAnsi="Calibri" w:cs="Calibri"/>
          <w:sz w:val="22"/>
          <w:szCs w:val="22"/>
        </w:rPr>
        <w:t>In 2017 bedroeg het bedrag dat verminderingen op de legesvergoeding ongeveer € 27.000</w:t>
      </w:r>
    </w:p>
    <w:p w:rsidR="00C844BB" w:rsidRPr="00817A48" w:rsidRDefault="00C844BB" w:rsidP="00C844BB">
      <w:pPr>
        <w:spacing w:line="360" w:lineRule="auto"/>
        <w:rPr>
          <w:rFonts w:ascii="Calibri" w:hAnsi="Calibri" w:cs="Calibri"/>
          <w:sz w:val="22"/>
          <w:szCs w:val="22"/>
        </w:rPr>
      </w:pPr>
      <w:r w:rsidRPr="005B592F">
        <w:rPr>
          <w:rFonts w:ascii="Calibri" w:hAnsi="Calibri" w:cs="Calibri"/>
          <w:sz w:val="22"/>
          <w:szCs w:val="22"/>
        </w:rPr>
        <w:t>In 2018  bedroegen deze bijna € 122.000</w:t>
      </w:r>
      <w:r w:rsidR="00720725" w:rsidRPr="00817A48">
        <w:rPr>
          <w:rFonts w:ascii="Calibri" w:hAnsi="Calibri" w:cs="Calibri"/>
          <w:sz w:val="22"/>
          <w:szCs w:val="22"/>
        </w:rPr>
        <w:t>. Dat verschil is met name gelegen in de afwikkeling van een aantal grote bezwaren uit eerdere jaren. In die tijd was de tekst van de legesverordening nog voor meer interpretaties vatbaar. Inmiddels is de legesverordening hier op aangepast.</w:t>
      </w:r>
    </w:p>
    <w:p w:rsidR="00C844BB" w:rsidRPr="005B592F" w:rsidRDefault="00C844BB" w:rsidP="00C844BB">
      <w:pPr>
        <w:spacing w:line="360" w:lineRule="auto"/>
        <w:rPr>
          <w:rFonts w:ascii="Calibri" w:hAnsi="Calibri" w:cs="Calibri"/>
          <w:sz w:val="22"/>
          <w:szCs w:val="22"/>
        </w:rPr>
      </w:pPr>
    </w:p>
    <w:p w:rsidR="00C844BB" w:rsidRPr="005B592F" w:rsidRDefault="00C844BB" w:rsidP="00C844BB">
      <w:pPr>
        <w:numPr>
          <w:ilvl w:val="0"/>
          <w:numId w:val="15"/>
        </w:numPr>
        <w:spacing w:line="360" w:lineRule="auto"/>
        <w:rPr>
          <w:rFonts w:ascii="Calibri" w:hAnsi="Calibri" w:cs="Calibri"/>
          <w:b/>
          <w:sz w:val="22"/>
          <w:szCs w:val="22"/>
        </w:rPr>
      </w:pPr>
      <w:r w:rsidRPr="005B592F">
        <w:rPr>
          <w:rFonts w:ascii="Calibri" w:hAnsi="Calibri" w:cs="Calibri"/>
          <w:b/>
          <w:sz w:val="22"/>
          <w:szCs w:val="22"/>
        </w:rPr>
        <w:t xml:space="preserve">Minder verleende vergunningen en lagere bouwsommen van de meest rendabele vergunning  </w:t>
      </w:r>
    </w:p>
    <w:p w:rsidR="00C844BB" w:rsidRPr="005B592F" w:rsidRDefault="00C844BB" w:rsidP="000E6AA5">
      <w:pPr>
        <w:spacing w:line="360" w:lineRule="auto"/>
        <w:rPr>
          <w:rFonts w:ascii="Calibri" w:hAnsi="Calibri" w:cs="Calibri"/>
          <w:sz w:val="22"/>
          <w:szCs w:val="22"/>
        </w:rPr>
      </w:pPr>
      <w:r w:rsidRPr="005B592F">
        <w:rPr>
          <w:rFonts w:ascii="Calibri" w:hAnsi="Calibri" w:cs="Calibri"/>
          <w:sz w:val="22"/>
          <w:szCs w:val="22"/>
        </w:rPr>
        <w:t xml:space="preserve">Het tarief van de vergunning met bouwactiviteiten is uitgedrukt in een percentage van de bouwsom. </w:t>
      </w:r>
    </w:p>
    <w:p w:rsidR="00C844BB" w:rsidRPr="005B592F" w:rsidRDefault="00C844BB" w:rsidP="000E6AA5">
      <w:pPr>
        <w:spacing w:line="360" w:lineRule="auto"/>
        <w:rPr>
          <w:rFonts w:ascii="Calibri" w:hAnsi="Calibri" w:cs="Calibri"/>
          <w:sz w:val="22"/>
          <w:szCs w:val="22"/>
        </w:rPr>
      </w:pPr>
      <w:r w:rsidRPr="005B592F">
        <w:rPr>
          <w:rFonts w:ascii="Calibri" w:hAnsi="Calibri" w:cs="Calibri"/>
          <w:sz w:val="22"/>
          <w:szCs w:val="22"/>
        </w:rPr>
        <w:t xml:space="preserve">In 2017 zijn er 270 vergunningen verleend tegen 261 in 2018, </w:t>
      </w:r>
      <w:r w:rsidR="004A5142" w:rsidRPr="005B592F">
        <w:rPr>
          <w:rFonts w:ascii="Calibri" w:hAnsi="Calibri" w:cs="Calibri"/>
          <w:sz w:val="22"/>
          <w:szCs w:val="22"/>
        </w:rPr>
        <w:t>dit geeft een negatief effect op de legesopbrengsten van € 48.378</w:t>
      </w:r>
    </w:p>
    <w:p w:rsidR="004A5142" w:rsidRPr="005B592F" w:rsidRDefault="00C844BB" w:rsidP="000E6AA5">
      <w:pPr>
        <w:spacing w:line="360" w:lineRule="auto"/>
        <w:rPr>
          <w:rFonts w:ascii="Calibri" w:hAnsi="Calibri" w:cs="Calibri"/>
          <w:sz w:val="22"/>
          <w:szCs w:val="22"/>
        </w:rPr>
      </w:pPr>
      <w:r w:rsidRPr="005B592F">
        <w:rPr>
          <w:rFonts w:ascii="Calibri" w:hAnsi="Calibri" w:cs="Calibri"/>
          <w:sz w:val="22"/>
          <w:szCs w:val="22"/>
        </w:rPr>
        <w:t>Daarnaast is het gemiddelde volume van de bouwsom per vergunning gedaald van €240.596 in 2017 naar € 231.328 in 20</w:t>
      </w:r>
      <w:r w:rsidR="004A5142" w:rsidRPr="005B592F">
        <w:rPr>
          <w:rFonts w:ascii="Calibri" w:hAnsi="Calibri" w:cs="Calibri"/>
          <w:sz w:val="22"/>
          <w:szCs w:val="22"/>
        </w:rPr>
        <w:t xml:space="preserve">18. Dit geeft een negatief effect op de opbrengsten van € 41. 639. </w:t>
      </w:r>
    </w:p>
    <w:p w:rsidR="00C844BB" w:rsidRPr="005B592F" w:rsidRDefault="004A5142" w:rsidP="000E6AA5">
      <w:pPr>
        <w:spacing w:line="360" w:lineRule="auto"/>
        <w:rPr>
          <w:rFonts w:ascii="Calibri" w:hAnsi="Calibri" w:cs="Calibri"/>
          <w:sz w:val="22"/>
          <w:szCs w:val="22"/>
        </w:rPr>
      </w:pPr>
      <w:r w:rsidRPr="005B592F">
        <w:rPr>
          <w:rFonts w:ascii="Calibri" w:hAnsi="Calibri" w:cs="Calibri"/>
          <w:sz w:val="22"/>
          <w:szCs w:val="22"/>
        </w:rPr>
        <w:t xml:space="preserve">De totale minderopbrengst van € 90.017 levert een negatief effect op de kostendekkendheid. </w:t>
      </w:r>
    </w:p>
    <w:p w:rsidR="004A5142" w:rsidRPr="005B592F" w:rsidRDefault="004A5142" w:rsidP="000E6AA5">
      <w:pPr>
        <w:spacing w:line="360" w:lineRule="auto"/>
        <w:rPr>
          <w:rFonts w:ascii="Calibri" w:hAnsi="Calibri" w:cs="Calibri"/>
          <w:sz w:val="22"/>
          <w:szCs w:val="22"/>
        </w:rPr>
      </w:pPr>
    </w:p>
    <w:p w:rsidR="004A5142" w:rsidRPr="005B592F" w:rsidRDefault="004A5142" w:rsidP="004A5142">
      <w:pPr>
        <w:numPr>
          <w:ilvl w:val="0"/>
          <w:numId w:val="15"/>
        </w:numPr>
        <w:spacing w:line="360" w:lineRule="auto"/>
        <w:rPr>
          <w:rFonts w:ascii="Calibri" w:hAnsi="Calibri" w:cs="Calibri"/>
          <w:b/>
          <w:sz w:val="22"/>
          <w:szCs w:val="22"/>
        </w:rPr>
      </w:pPr>
      <w:r w:rsidRPr="005B592F">
        <w:rPr>
          <w:rFonts w:ascii="Calibri" w:hAnsi="Calibri" w:cs="Calibri"/>
          <w:b/>
          <w:sz w:val="22"/>
          <w:szCs w:val="22"/>
        </w:rPr>
        <w:t xml:space="preserve">In werkelijkheid meer uren geschreven dan begroot </w:t>
      </w:r>
    </w:p>
    <w:p w:rsidR="00D172FB" w:rsidRDefault="004A5142" w:rsidP="004A5142">
      <w:pPr>
        <w:spacing w:line="360" w:lineRule="auto"/>
        <w:rPr>
          <w:rFonts w:ascii="Calibri" w:hAnsi="Calibri" w:cs="Calibri"/>
          <w:sz w:val="22"/>
          <w:szCs w:val="22"/>
        </w:rPr>
      </w:pPr>
      <w:r w:rsidRPr="005B592F">
        <w:rPr>
          <w:rFonts w:ascii="Calibri" w:hAnsi="Calibri" w:cs="Calibri"/>
          <w:sz w:val="22"/>
          <w:szCs w:val="22"/>
        </w:rPr>
        <w:t xml:space="preserve">In 2017 zijn er 16.354 uren toegeschreven aan de vergunningverlening van Titel 2. In 2018 bedroegen dit er 17.735. Dit resulteert in hogere directe loonkosten en </w:t>
      </w:r>
      <w:r w:rsidR="00817A48">
        <w:rPr>
          <w:rFonts w:ascii="Calibri" w:hAnsi="Calibri" w:cs="Calibri"/>
          <w:sz w:val="22"/>
          <w:szCs w:val="22"/>
        </w:rPr>
        <w:t xml:space="preserve">opslag voor </w:t>
      </w:r>
      <w:r w:rsidRPr="005B592F">
        <w:rPr>
          <w:rFonts w:ascii="Calibri" w:hAnsi="Calibri" w:cs="Calibri"/>
          <w:sz w:val="22"/>
          <w:szCs w:val="22"/>
        </w:rPr>
        <w:t xml:space="preserve">overhead. </w:t>
      </w:r>
      <w:r w:rsidR="00720725" w:rsidRPr="008749FE">
        <w:rPr>
          <w:rFonts w:ascii="Calibri" w:hAnsi="Calibri" w:cs="Calibri"/>
          <w:sz w:val="22"/>
          <w:szCs w:val="22"/>
        </w:rPr>
        <w:t xml:space="preserve">De toename van de uren ligt deels in het feit dat we in 2018 zijn gestart met een optimalisering van het </w:t>
      </w:r>
      <w:proofErr w:type="spellStart"/>
      <w:r w:rsidR="00720725" w:rsidRPr="008749FE">
        <w:rPr>
          <w:rFonts w:ascii="Calibri" w:hAnsi="Calibri" w:cs="Calibri"/>
          <w:sz w:val="22"/>
          <w:szCs w:val="22"/>
        </w:rPr>
        <w:t>Wabo</w:t>
      </w:r>
      <w:proofErr w:type="spellEnd"/>
      <w:r w:rsidR="00720725" w:rsidRPr="008749FE">
        <w:rPr>
          <w:rFonts w:ascii="Calibri" w:hAnsi="Calibri" w:cs="Calibri"/>
          <w:sz w:val="22"/>
          <w:szCs w:val="22"/>
        </w:rPr>
        <w:t xml:space="preserve">-proces. De inzet van uren die hier is geleverd door alle betrokkenen in het </w:t>
      </w:r>
      <w:proofErr w:type="spellStart"/>
      <w:r w:rsidR="00720725" w:rsidRPr="008749FE">
        <w:rPr>
          <w:rFonts w:ascii="Calibri" w:hAnsi="Calibri" w:cs="Calibri"/>
          <w:sz w:val="22"/>
          <w:szCs w:val="22"/>
        </w:rPr>
        <w:t>Wabo</w:t>
      </w:r>
      <w:proofErr w:type="spellEnd"/>
      <w:r w:rsidR="00720725" w:rsidRPr="008749FE">
        <w:rPr>
          <w:rFonts w:ascii="Calibri" w:hAnsi="Calibri" w:cs="Calibri"/>
          <w:sz w:val="22"/>
          <w:szCs w:val="22"/>
        </w:rPr>
        <w:t xml:space="preserve">-proces, is een investering geweest in de </w:t>
      </w:r>
      <w:r w:rsidR="00720725" w:rsidRPr="008749FE">
        <w:rPr>
          <w:rFonts w:ascii="Calibri" w:hAnsi="Calibri" w:cs="Calibri"/>
          <w:sz w:val="22"/>
          <w:szCs w:val="22"/>
        </w:rPr>
        <w:lastRenderedPageBreak/>
        <w:t>toekomst</w:t>
      </w:r>
      <w:r w:rsidR="009B3388" w:rsidRPr="008749FE">
        <w:rPr>
          <w:rFonts w:ascii="Calibri" w:hAnsi="Calibri" w:cs="Calibri"/>
          <w:sz w:val="22"/>
          <w:szCs w:val="22"/>
        </w:rPr>
        <w:t>, maar drukte in 2018 op de kostendekkendheid</w:t>
      </w:r>
      <w:r w:rsidR="00720725" w:rsidRPr="008749FE">
        <w:rPr>
          <w:rFonts w:ascii="Calibri" w:hAnsi="Calibri" w:cs="Calibri"/>
          <w:sz w:val="22"/>
          <w:szCs w:val="22"/>
        </w:rPr>
        <w:t>.</w:t>
      </w:r>
      <w:r w:rsidR="009B3388" w:rsidRPr="008749FE">
        <w:rPr>
          <w:rFonts w:ascii="Calibri" w:hAnsi="Calibri" w:cs="Calibri"/>
          <w:sz w:val="22"/>
          <w:szCs w:val="22"/>
        </w:rPr>
        <w:t xml:space="preserve"> Halverwege 2019 zal het traject zijn afgerond en wordt het nieuwe proces geïmplementeerd.</w:t>
      </w:r>
      <w:r w:rsidR="008749FE" w:rsidRPr="008749FE">
        <w:rPr>
          <w:rFonts w:ascii="Calibri" w:hAnsi="Calibri" w:cs="Calibri"/>
          <w:sz w:val="22"/>
          <w:szCs w:val="22"/>
        </w:rPr>
        <w:t xml:space="preserve"> </w:t>
      </w:r>
    </w:p>
    <w:p w:rsidR="008749FE" w:rsidRPr="005B592F" w:rsidRDefault="008749FE" w:rsidP="004A5142">
      <w:pPr>
        <w:spacing w:line="360" w:lineRule="auto"/>
        <w:rPr>
          <w:rFonts w:ascii="Calibri" w:hAnsi="Calibri" w:cs="Calibri"/>
          <w:sz w:val="22"/>
          <w:szCs w:val="22"/>
        </w:rPr>
      </w:pPr>
    </w:p>
    <w:p w:rsidR="004A5142" w:rsidRPr="005B592F" w:rsidRDefault="004A5142" w:rsidP="004A5142">
      <w:pPr>
        <w:numPr>
          <w:ilvl w:val="0"/>
          <w:numId w:val="15"/>
        </w:numPr>
        <w:spacing w:line="360" w:lineRule="auto"/>
        <w:rPr>
          <w:rFonts w:ascii="Calibri" w:hAnsi="Calibri" w:cs="Calibri"/>
          <w:b/>
          <w:sz w:val="22"/>
          <w:szCs w:val="22"/>
        </w:rPr>
      </w:pPr>
      <w:r w:rsidRPr="005B592F">
        <w:rPr>
          <w:rFonts w:ascii="Calibri" w:hAnsi="Calibri" w:cs="Calibri"/>
          <w:b/>
          <w:sz w:val="22"/>
          <w:szCs w:val="22"/>
        </w:rPr>
        <w:t xml:space="preserve">Lagere uurtarieven (incl. overhead) in 2018 </w:t>
      </w:r>
    </w:p>
    <w:p w:rsidR="009E41BF" w:rsidRPr="005B592F" w:rsidRDefault="004A5142" w:rsidP="004A5142">
      <w:pPr>
        <w:spacing w:line="360" w:lineRule="auto"/>
        <w:rPr>
          <w:rFonts w:ascii="Calibri" w:hAnsi="Calibri" w:cs="Calibri"/>
          <w:sz w:val="22"/>
          <w:szCs w:val="22"/>
        </w:rPr>
      </w:pPr>
      <w:r w:rsidRPr="005B592F">
        <w:rPr>
          <w:rFonts w:ascii="Calibri" w:hAnsi="Calibri" w:cs="Calibri"/>
          <w:sz w:val="22"/>
          <w:szCs w:val="22"/>
        </w:rPr>
        <w:t xml:space="preserve">In 2017 bedroeg het </w:t>
      </w:r>
      <w:r w:rsidR="009E41BF" w:rsidRPr="005B592F">
        <w:rPr>
          <w:rFonts w:ascii="Calibri" w:hAnsi="Calibri" w:cs="Calibri"/>
          <w:sz w:val="22"/>
          <w:szCs w:val="22"/>
        </w:rPr>
        <w:t xml:space="preserve">gehanteerde </w:t>
      </w:r>
      <w:r w:rsidRPr="005B592F">
        <w:rPr>
          <w:rFonts w:ascii="Calibri" w:hAnsi="Calibri" w:cs="Calibri"/>
          <w:sz w:val="22"/>
          <w:szCs w:val="22"/>
        </w:rPr>
        <w:t xml:space="preserve">uurtarief </w:t>
      </w:r>
      <w:r w:rsidR="009E41BF" w:rsidRPr="005B592F">
        <w:rPr>
          <w:rFonts w:ascii="Calibri" w:hAnsi="Calibri" w:cs="Calibri"/>
          <w:sz w:val="22"/>
          <w:szCs w:val="22"/>
        </w:rPr>
        <w:t xml:space="preserve">per taakveld </w:t>
      </w:r>
      <w:r w:rsidRPr="005B592F">
        <w:rPr>
          <w:rFonts w:ascii="Calibri" w:hAnsi="Calibri" w:cs="Calibri"/>
          <w:sz w:val="22"/>
          <w:szCs w:val="22"/>
        </w:rPr>
        <w:t xml:space="preserve">€ 86,67 en in 2018 € 85,94 De daling is </w:t>
      </w:r>
      <w:r w:rsidR="009E41BF" w:rsidRPr="005B592F">
        <w:rPr>
          <w:rFonts w:ascii="Calibri" w:hAnsi="Calibri" w:cs="Calibri"/>
          <w:sz w:val="22"/>
          <w:szCs w:val="22"/>
        </w:rPr>
        <w:t xml:space="preserve">veroorzaakt </w:t>
      </w:r>
      <w:r w:rsidRPr="005B592F">
        <w:rPr>
          <w:rFonts w:ascii="Calibri" w:hAnsi="Calibri" w:cs="Calibri"/>
          <w:sz w:val="22"/>
          <w:szCs w:val="22"/>
        </w:rPr>
        <w:t xml:space="preserve">door het lagere overheadpercentage </w:t>
      </w:r>
      <w:r w:rsidR="009E41BF" w:rsidRPr="005B592F">
        <w:rPr>
          <w:rFonts w:ascii="Calibri" w:hAnsi="Calibri" w:cs="Calibri"/>
          <w:sz w:val="22"/>
          <w:szCs w:val="22"/>
        </w:rPr>
        <w:t xml:space="preserve">(63,96% in 2017 t.o.v. 60,07% in 2018. Deze ontwikkeling heeft een positief effect op de kostendekkendheid.  </w:t>
      </w:r>
    </w:p>
    <w:p w:rsidR="009E41BF" w:rsidRPr="005B592F" w:rsidRDefault="009E41BF" w:rsidP="004A5142">
      <w:pPr>
        <w:spacing w:line="360" w:lineRule="auto"/>
        <w:rPr>
          <w:rFonts w:ascii="Calibri" w:hAnsi="Calibri" w:cs="Calibri"/>
          <w:sz w:val="22"/>
          <w:szCs w:val="22"/>
        </w:rPr>
      </w:pPr>
    </w:p>
    <w:p w:rsidR="004A5142" w:rsidRPr="005B592F" w:rsidRDefault="009E41BF" w:rsidP="004A5142">
      <w:pPr>
        <w:spacing w:line="360" w:lineRule="auto"/>
        <w:rPr>
          <w:rFonts w:ascii="Calibri" w:hAnsi="Calibri" w:cs="Calibri"/>
          <w:b/>
          <w:sz w:val="22"/>
          <w:szCs w:val="22"/>
        </w:rPr>
      </w:pPr>
      <w:r w:rsidRPr="005B592F">
        <w:rPr>
          <w:rFonts w:ascii="Calibri" w:hAnsi="Calibri" w:cs="Calibri"/>
          <w:b/>
          <w:sz w:val="22"/>
          <w:szCs w:val="22"/>
        </w:rPr>
        <w:t xml:space="preserve">Advies ten aanzien van de tarieven.  </w:t>
      </w:r>
    </w:p>
    <w:p w:rsidR="009E41BF" w:rsidRPr="008749FE" w:rsidRDefault="009E41BF" w:rsidP="000E6AA5">
      <w:pPr>
        <w:spacing w:line="360" w:lineRule="auto"/>
        <w:rPr>
          <w:rFonts w:asciiTheme="minorHAnsi" w:hAnsiTheme="minorHAnsi" w:cstheme="minorHAnsi"/>
          <w:sz w:val="22"/>
          <w:szCs w:val="22"/>
        </w:rPr>
      </w:pPr>
      <w:r w:rsidRPr="005B592F">
        <w:rPr>
          <w:rFonts w:ascii="Calibri" w:hAnsi="Calibri" w:cs="Calibri"/>
          <w:sz w:val="22"/>
          <w:szCs w:val="22"/>
        </w:rPr>
        <w:t xml:space="preserve">De kostendekkendheid  op basis van de werkelijke opbrengsten en de werkelijk uitgaven </w:t>
      </w:r>
      <w:r w:rsidR="00FA043D" w:rsidRPr="005B592F">
        <w:rPr>
          <w:rFonts w:ascii="Calibri" w:hAnsi="Calibri" w:cs="Calibri"/>
          <w:sz w:val="22"/>
          <w:szCs w:val="22"/>
        </w:rPr>
        <w:t xml:space="preserve">van titel 2 is </w:t>
      </w:r>
      <w:r w:rsidRPr="005B592F">
        <w:rPr>
          <w:rFonts w:ascii="Calibri" w:hAnsi="Calibri" w:cs="Calibri"/>
          <w:sz w:val="22"/>
          <w:szCs w:val="22"/>
        </w:rPr>
        <w:t>met 76,28%</w:t>
      </w:r>
      <w:r w:rsidR="00FA043D" w:rsidRPr="005B592F">
        <w:rPr>
          <w:rFonts w:ascii="Calibri" w:hAnsi="Calibri" w:cs="Calibri"/>
          <w:sz w:val="22"/>
          <w:szCs w:val="22"/>
        </w:rPr>
        <w:t xml:space="preserve"> </w:t>
      </w:r>
      <w:r w:rsidRPr="005B592F">
        <w:rPr>
          <w:rFonts w:ascii="Calibri" w:hAnsi="Calibri" w:cs="Calibri"/>
          <w:sz w:val="22"/>
          <w:szCs w:val="22"/>
        </w:rPr>
        <w:t xml:space="preserve">ruim </w:t>
      </w:r>
      <w:r w:rsidR="00FA043D" w:rsidRPr="005B592F">
        <w:rPr>
          <w:rFonts w:ascii="Calibri" w:hAnsi="Calibri" w:cs="Calibri"/>
          <w:sz w:val="22"/>
          <w:szCs w:val="22"/>
        </w:rPr>
        <w:t>onder de 100% kostendekkendheid</w:t>
      </w:r>
      <w:r w:rsidRPr="005B592F">
        <w:rPr>
          <w:rFonts w:ascii="Calibri" w:hAnsi="Calibri" w:cs="Calibri"/>
          <w:sz w:val="22"/>
          <w:szCs w:val="22"/>
        </w:rPr>
        <w:t xml:space="preserve">. </w:t>
      </w:r>
      <w:r w:rsidR="008749FE" w:rsidRPr="005B592F">
        <w:rPr>
          <w:rFonts w:ascii="Calibri" w:hAnsi="Calibri" w:cs="Calibri"/>
          <w:sz w:val="22"/>
          <w:szCs w:val="22"/>
        </w:rPr>
        <w:t xml:space="preserve">Indien bovenstaande ontwikkeling niet hadden plaatsgevonden was het </w:t>
      </w:r>
      <w:proofErr w:type="spellStart"/>
      <w:r w:rsidR="008749FE" w:rsidRPr="005B592F">
        <w:rPr>
          <w:rFonts w:ascii="Calibri" w:hAnsi="Calibri" w:cs="Calibri"/>
          <w:sz w:val="22"/>
          <w:szCs w:val="22"/>
        </w:rPr>
        <w:t>kostendekkendheids</w:t>
      </w:r>
      <w:r w:rsidR="008749FE">
        <w:rPr>
          <w:rFonts w:ascii="Calibri" w:hAnsi="Calibri" w:cs="Calibri"/>
          <w:sz w:val="22"/>
          <w:szCs w:val="22"/>
        </w:rPr>
        <w:t>percentage</w:t>
      </w:r>
      <w:proofErr w:type="spellEnd"/>
      <w:r w:rsidR="008749FE" w:rsidRPr="005B592F">
        <w:rPr>
          <w:rFonts w:ascii="Calibri" w:hAnsi="Calibri" w:cs="Calibri"/>
          <w:sz w:val="22"/>
          <w:szCs w:val="22"/>
        </w:rPr>
        <w:t xml:space="preserve"> uitgekomen op een vergelijkbaar niveau met vorig jaar. </w:t>
      </w:r>
      <w:r w:rsidR="008749FE">
        <w:rPr>
          <w:rFonts w:ascii="Calibri" w:hAnsi="Calibri" w:cs="Calibri"/>
          <w:sz w:val="22"/>
          <w:szCs w:val="22"/>
        </w:rPr>
        <w:t xml:space="preserve">We </w:t>
      </w:r>
      <w:r w:rsidR="00A36E90" w:rsidRPr="005B592F">
        <w:rPr>
          <w:rFonts w:ascii="Calibri" w:hAnsi="Calibri" w:cs="Calibri"/>
          <w:sz w:val="22"/>
          <w:szCs w:val="22"/>
        </w:rPr>
        <w:t xml:space="preserve">adviseren </w:t>
      </w:r>
      <w:r w:rsidR="008749FE">
        <w:rPr>
          <w:rFonts w:ascii="Calibri" w:hAnsi="Calibri" w:cs="Calibri"/>
          <w:sz w:val="22"/>
          <w:szCs w:val="22"/>
        </w:rPr>
        <w:t xml:space="preserve">derhalve  </w:t>
      </w:r>
      <w:r w:rsidR="00A36E90" w:rsidRPr="005B592F">
        <w:rPr>
          <w:rFonts w:ascii="Calibri" w:hAnsi="Calibri" w:cs="Calibri"/>
          <w:sz w:val="22"/>
          <w:szCs w:val="22"/>
        </w:rPr>
        <w:t>de tarieven te blijven handhaven. Dit omdat de oorzaken een grillig</w:t>
      </w:r>
      <w:r w:rsidR="008749FE">
        <w:rPr>
          <w:rFonts w:ascii="Calibri" w:hAnsi="Calibri" w:cs="Calibri"/>
          <w:sz w:val="22"/>
          <w:szCs w:val="22"/>
        </w:rPr>
        <w:t xml:space="preserve"> en </w:t>
      </w:r>
      <w:r w:rsidR="00A36E90" w:rsidRPr="005B592F">
        <w:rPr>
          <w:rFonts w:ascii="Calibri" w:hAnsi="Calibri" w:cs="Calibri"/>
          <w:sz w:val="22"/>
          <w:szCs w:val="22"/>
        </w:rPr>
        <w:t xml:space="preserve"> verloop kennen </w:t>
      </w:r>
      <w:r w:rsidR="008749FE">
        <w:rPr>
          <w:rFonts w:ascii="Calibri" w:hAnsi="Calibri" w:cs="Calibri"/>
          <w:sz w:val="22"/>
          <w:szCs w:val="22"/>
        </w:rPr>
        <w:t>en incidenteel karakter hebben.  B</w:t>
      </w:r>
      <w:r w:rsidR="00A36E90" w:rsidRPr="005B592F">
        <w:rPr>
          <w:rFonts w:ascii="Calibri" w:hAnsi="Calibri" w:cs="Calibri"/>
          <w:sz w:val="22"/>
          <w:szCs w:val="22"/>
        </w:rPr>
        <w:t xml:space="preserve">ij het </w:t>
      </w:r>
      <w:r w:rsidR="008749FE">
        <w:rPr>
          <w:rFonts w:ascii="Calibri" w:hAnsi="Calibri" w:cs="Calibri"/>
          <w:sz w:val="22"/>
          <w:szCs w:val="22"/>
        </w:rPr>
        <w:t xml:space="preserve">verhogen </w:t>
      </w:r>
      <w:r w:rsidR="00A36E90" w:rsidRPr="005B592F">
        <w:rPr>
          <w:rFonts w:ascii="Calibri" w:hAnsi="Calibri" w:cs="Calibri"/>
          <w:sz w:val="22"/>
          <w:szCs w:val="22"/>
        </w:rPr>
        <w:t xml:space="preserve"> van de tarieven </w:t>
      </w:r>
      <w:r w:rsidR="005B592F">
        <w:rPr>
          <w:rFonts w:ascii="Calibri" w:hAnsi="Calibri" w:cs="Calibri"/>
          <w:sz w:val="22"/>
          <w:szCs w:val="22"/>
        </w:rPr>
        <w:t xml:space="preserve">aanzienlijk is </w:t>
      </w:r>
      <w:r w:rsidR="008749FE">
        <w:rPr>
          <w:rFonts w:ascii="Calibri" w:hAnsi="Calibri" w:cs="Calibri"/>
          <w:sz w:val="22"/>
          <w:szCs w:val="22"/>
        </w:rPr>
        <w:t xml:space="preserve">het risico te groot </w:t>
      </w:r>
      <w:r w:rsidR="00A36E90" w:rsidRPr="005B592F">
        <w:rPr>
          <w:rFonts w:ascii="Calibri" w:hAnsi="Calibri" w:cs="Calibri"/>
          <w:sz w:val="22"/>
          <w:szCs w:val="22"/>
        </w:rPr>
        <w:t xml:space="preserve">dat </w:t>
      </w:r>
      <w:r w:rsidR="005B592F">
        <w:rPr>
          <w:rFonts w:ascii="Calibri" w:hAnsi="Calibri" w:cs="Calibri"/>
          <w:sz w:val="22"/>
          <w:szCs w:val="22"/>
        </w:rPr>
        <w:t xml:space="preserve">de </w:t>
      </w:r>
      <w:r w:rsidR="00A36E90" w:rsidRPr="005B592F">
        <w:rPr>
          <w:rFonts w:ascii="Calibri" w:hAnsi="Calibri" w:cs="Calibri"/>
          <w:sz w:val="22"/>
          <w:szCs w:val="22"/>
        </w:rPr>
        <w:t xml:space="preserve">kostendekkendheid </w:t>
      </w:r>
      <w:r w:rsidR="005B592F">
        <w:rPr>
          <w:rFonts w:ascii="Calibri" w:hAnsi="Calibri" w:cs="Calibri"/>
          <w:sz w:val="22"/>
          <w:szCs w:val="22"/>
        </w:rPr>
        <w:t xml:space="preserve">boven de wettelijk maximale 100% zal uitkomen. </w:t>
      </w:r>
      <w:r w:rsidR="009B3388" w:rsidRPr="008749FE">
        <w:rPr>
          <w:rFonts w:asciiTheme="minorHAnsi" w:hAnsiTheme="minorHAnsi" w:cstheme="minorHAnsi"/>
          <w:sz w:val="22"/>
          <w:szCs w:val="22"/>
        </w:rPr>
        <w:t xml:space="preserve">We adviseren </w:t>
      </w:r>
      <w:r w:rsidR="008749FE" w:rsidRPr="008749FE">
        <w:rPr>
          <w:rFonts w:asciiTheme="minorHAnsi" w:hAnsiTheme="minorHAnsi" w:cstheme="minorHAnsi"/>
          <w:sz w:val="22"/>
          <w:szCs w:val="22"/>
        </w:rPr>
        <w:t xml:space="preserve">daarnaast wel </w:t>
      </w:r>
      <w:r w:rsidR="009B3388" w:rsidRPr="008749FE">
        <w:rPr>
          <w:rFonts w:asciiTheme="minorHAnsi" w:hAnsiTheme="minorHAnsi" w:cstheme="minorHAnsi"/>
          <w:sz w:val="22"/>
          <w:szCs w:val="22"/>
        </w:rPr>
        <w:t>om de tijdsbesteding aan de vergunningverlening te onderzoeken</w:t>
      </w:r>
      <w:r w:rsidR="00BF214D" w:rsidRPr="008749FE">
        <w:rPr>
          <w:rFonts w:asciiTheme="minorHAnsi" w:hAnsiTheme="minorHAnsi" w:cstheme="minorHAnsi"/>
          <w:sz w:val="22"/>
          <w:szCs w:val="22"/>
        </w:rPr>
        <w:t xml:space="preserve"> </w:t>
      </w:r>
      <w:r w:rsidR="009B3388" w:rsidRPr="008749FE">
        <w:rPr>
          <w:rFonts w:asciiTheme="minorHAnsi" w:hAnsiTheme="minorHAnsi" w:cstheme="minorHAnsi"/>
          <w:sz w:val="22"/>
          <w:szCs w:val="22"/>
        </w:rPr>
        <w:t xml:space="preserve">en </w:t>
      </w:r>
      <w:r w:rsidR="008749FE" w:rsidRPr="008749FE">
        <w:rPr>
          <w:rFonts w:asciiTheme="minorHAnsi" w:hAnsiTheme="minorHAnsi" w:cstheme="minorHAnsi"/>
          <w:sz w:val="22"/>
          <w:szCs w:val="22"/>
        </w:rPr>
        <w:t xml:space="preserve">op basis daarvan </w:t>
      </w:r>
      <w:r w:rsidR="009B3388" w:rsidRPr="008749FE">
        <w:rPr>
          <w:rFonts w:asciiTheme="minorHAnsi" w:hAnsiTheme="minorHAnsi" w:cstheme="minorHAnsi"/>
          <w:sz w:val="22"/>
          <w:szCs w:val="22"/>
        </w:rPr>
        <w:t>noodzakelijke aanpassingen door te voeren in de legesverordening 2020. Ten aanzien van de bezwaren tegen de vastgestelde leges en interpretatiemogelijkheden in dat kader, is een dergelijke wijziging in de legesverordening van 2019 al doorgevoerd.</w:t>
      </w:r>
    </w:p>
    <w:p w:rsidR="00A52CA0" w:rsidRPr="00C25D3B" w:rsidRDefault="00A52CA0" w:rsidP="007459C7">
      <w:pPr>
        <w:rPr>
          <w:rFonts w:ascii="Calibri" w:hAnsi="Calibri" w:cs="Calibri"/>
          <w:sz w:val="22"/>
          <w:szCs w:val="22"/>
        </w:rPr>
      </w:pPr>
    </w:p>
    <w:p w:rsidR="00835ED7" w:rsidRPr="00C25D3B" w:rsidRDefault="00835ED7" w:rsidP="001D4ACB">
      <w:pPr>
        <w:pStyle w:val="Kop3"/>
        <w:rPr>
          <w:rFonts w:ascii="Calibri" w:hAnsi="Calibri" w:cs="Calibri"/>
          <w:sz w:val="22"/>
          <w:szCs w:val="22"/>
        </w:rPr>
      </w:pPr>
      <w:bookmarkStart w:id="51" w:name="_Toc332973653"/>
      <w:bookmarkStart w:id="52" w:name="_Toc332973742"/>
      <w:bookmarkStart w:id="53" w:name="_Toc332973768"/>
      <w:bookmarkStart w:id="54" w:name="_Toc332973870"/>
      <w:bookmarkStart w:id="55" w:name="_Toc332973918"/>
      <w:bookmarkStart w:id="56" w:name="_Toc332973976"/>
      <w:bookmarkStart w:id="57" w:name="_Toc490832324"/>
      <w:r w:rsidRPr="00C25D3B">
        <w:rPr>
          <w:rFonts w:ascii="Calibri" w:hAnsi="Calibri" w:cs="Calibri"/>
          <w:sz w:val="22"/>
          <w:szCs w:val="22"/>
        </w:rPr>
        <w:t>Titel 3 Dienstverlening vallend onder Europese Dienstenrichtlijn</w:t>
      </w:r>
      <w:bookmarkEnd w:id="51"/>
      <w:bookmarkEnd w:id="52"/>
      <w:bookmarkEnd w:id="53"/>
      <w:bookmarkEnd w:id="54"/>
      <w:bookmarkEnd w:id="55"/>
      <w:bookmarkEnd w:id="56"/>
      <w:bookmarkEnd w:id="57"/>
      <w:r w:rsidRPr="00C25D3B">
        <w:rPr>
          <w:rFonts w:ascii="Calibri" w:hAnsi="Calibri" w:cs="Calibri"/>
          <w:sz w:val="22"/>
          <w:szCs w:val="22"/>
        </w:rPr>
        <w:t xml:space="preserve"> </w:t>
      </w:r>
    </w:p>
    <w:p w:rsidR="00F153E6" w:rsidRPr="00F153E6" w:rsidRDefault="00F153E6" w:rsidP="00F153E6">
      <w:pPr>
        <w:rPr>
          <w:rFonts w:ascii="Calibri" w:hAnsi="Calibri" w:cs="Calibri"/>
          <w:sz w:val="22"/>
          <w:szCs w:val="22"/>
        </w:rPr>
      </w:pPr>
      <w:bookmarkStart w:id="58" w:name="_Toc332973655"/>
      <w:bookmarkStart w:id="59" w:name="_Toc332973744"/>
      <w:bookmarkStart w:id="60" w:name="_Toc332973770"/>
      <w:bookmarkStart w:id="61" w:name="_Toc332973872"/>
      <w:bookmarkStart w:id="62" w:name="_Toc332973920"/>
      <w:bookmarkStart w:id="63" w:name="_Toc332973978"/>
    </w:p>
    <w:p w:rsidR="00F153E6" w:rsidRDefault="00F153E6" w:rsidP="00F153E6">
      <w:pPr>
        <w:pStyle w:val="Tekstzonderopmaak"/>
      </w:pPr>
      <w:bookmarkStart w:id="64" w:name="_Toc332973654"/>
      <w:bookmarkStart w:id="65" w:name="_Toc332973743"/>
      <w:bookmarkStart w:id="66" w:name="_Toc332973769"/>
      <w:bookmarkStart w:id="67" w:name="_Toc332973871"/>
      <w:bookmarkStart w:id="68" w:name="_Toc332973919"/>
      <w:bookmarkStart w:id="69" w:name="_Toc332973977"/>
    </w:p>
    <w:tbl>
      <w:tblPr>
        <w:tblW w:w="9140" w:type="dxa"/>
        <w:tblInd w:w="55" w:type="dxa"/>
        <w:tblCellMar>
          <w:left w:w="70" w:type="dxa"/>
          <w:right w:w="70" w:type="dxa"/>
        </w:tblCellMar>
        <w:tblLook w:val="04A0" w:firstRow="1" w:lastRow="0" w:firstColumn="1" w:lastColumn="0" w:noHBand="0" w:noVBand="1"/>
      </w:tblPr>
      <w:tblGrid>
        <w:gridCol w:w="1321"/>
        <w:gridCol w:w="371"/>
        <w:gridCol w:w="3680"/>
        <w:gridCol w:w="1256"/>
        <w:gridCol w:w="1256"/>
        <w:gridCol w:w="1256"/>
      </w:tblGrid>
      <w:tr w:rsidR="00D172FB" w:rsidRPr="00D172FB" w:rsidTr="00D172FB">
        <w:trPr>
          <w:trHeight w:val="300"/>
        </w:trPr>
        <w:tc>
          <w:tcPr>
            <w:tcW w:w="5300" w:type="dxa"/>
            <w:gridSpan w:val="3"/>
            <w:tcBorders>
              <w:top w:val="single" w:sz="8" w:space="0" w:color="auto"/>
              <w:left w:val="single" w:sz="8" w:space="0" w:color="auto"/>
              <w:bottom w:val="nil"/>
              <w:right w:val="single" w:sz="4" w:space="0" w:color="000000"/>
            </w:tcBorders>
            <w:shd w:val="clear" w:color="000000" w:fill="1F497D" w:themeFill="text2"/>
            <w:noWrap/>
            <w:vAlign w:val="bottom"/>
            <w:hideMark/>
          </w:tcPr>
          <w:p w:rsidR="00504011" w:rsidRPr="00D172FB" w:rsidRDefault="00504011" w:rsidP="00504011">
            <w:pPr>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Titel 3 Europese dienstenrichtlijn</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Lasten</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Baten</w:t>
            </w:r>
          </w:p>
        </w:tc>
        <w:tc>
          <w:tcPr>
            <w:tcW w:w="1240" w:type="dxa"/>
            <w:tcBorders>
              <w:top w:val="single" w:sz="8" w:space="0" w:color="auto"/>
              <w:left w:val="nil"/>
              <w:bottom w:val="nil"/>
              <w:right w:val="single" w:sz="4" w:space="0" w:color="000000"/>
            </w:tcBorders>
            <w:shd w:val="clear" w:color="000000" w:fill="1F497D" w:themeFill="text2"/>
            <w:noWrap/>
            <w:vAlign w:val="bottom"/>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Kostendekking</w:t>
            </w:r>
          </w:p>
        </w:tc>
      </w:tr>
      <w:tr w:rsidR="00504011" w:rsidRPr="00504011" w:rsidTr="00504011">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1</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Horeca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€ 13.967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€ 6.114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43,77%</w:t>
            </w:r>
          </w:p>
        </w:tc>
      </w:tr>
      <w:tr w:rsidR="00504011" w:rsidRPr="00504011" w:rsidTr="00504011">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2</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Organiseren evenementen of markten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€ 856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€ 292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34,11%</w:t>
            </w:r>
          </w:p>
        </w:tc>
      </w:tr>
      <w:tr w:rsidR="00504011" w:rsidRPr="00504011" w:rsidTr="00504011">
        <w:trPr>
          <w:trHeight w:val="300"/>
        </w:trPr>
        <w:tc>
          <w:tcPr>
            <w:tcW w:w="13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3</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Prostitutiebedrijven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504011" w:rsidRPr="00504011" w:rsidTr="00D172FB">
        <w:trPr>
          <w:trHeight w:val="300"/>
        </w:trPr>
        <w:tc>
          <w:tcPr>
            <w:tcW w:w="130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6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4</w:t>
            </w:r>
          </w:p>
        </w:tc>
        <w:tc>
          <w:tcPr>
            <w:tcW w:w="3632" w:type="dxa"/>
            <w:tcBorders>
              <w:top w:val="single" w:sz="4" w:space="0" w:color="auto"/>
              <w:left w:val="nil"/>
              <w:bottom w:val="single" w:sz="8" w:space="0" w:color="auto"/>
              <w:right w:val="single" w:sz="4" w:space="0" w:color="auto"/>
            </w:tcBorders>
            <w:shd w:val="clear" w:color="auto" w:fill="auto"/>
            <w:vAlign w:val="center"/>
            <w:hideMark/>
          </w:tcPr>
          <w:p w:rsidR="00504011" w:rsidRPr="00504011" w:rsidRDefault="00504011" w:rsidP="00504011">
            <w:pPr>
              <w:rPr>
                <w:rFonts w:ascii="Calibri" w:eastAsia="Times New Roman" w:hAnsi="Calibri" w:cs="Calibri"/>
                <w:sz w:val="16"/>
                <w:szCs w:val="16"/>
              </w:rPr>
            </w:pPr>
            <w:r w:rsidRPr="00504011">
              <w:rPr>
                <w:rFonts w:ascii="Calibri" w:eastAsia="Times New Roman" w:hAnsi="Calibri" w:cs="Calibri"/>
                <w:sz w:val="16"/>
                <w:szCs w:val="16"/>
              </w:rPr>
              <w:t>In deze titel niet benoemde vergunning, ontheffing of andere beschikking</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504011" w:rsidRPr="00504011" w:rsidRDefault="00504011" w:rsidP="00504011">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D172FB" w:rsidRPr="00D172FB" w:rsidTr="00D172FB">
        <w:trPr>
          <w:trHeight w:val="315"/>
        </w:trPr>
        <w:tc>
          <w:tcPr>
            <w:tcW w:w="5300" w:type="dxa"/>
            <w:gridSpan w:val="3"/>
            <w:tcBorders>
              <w:top w:val="single" w:sz="8" w:space="0" w:color="auto"/>
              <w:left w:val="single" w:sz="8" w:space="0" w:color="auto"/>
              <w:right w:val="single" w:sz="4" w:space="0" w:color="000000"/>
            </w:tcBorders>
            <w:shd w:val="clear" w:color="000000" w:fill="1F497D" w:themeFill="text2"/>
            <w:noWrap/>
            <w:vAlign w:val="bottom"/>
            <w:hideMark/>
          </w:tcPr>
          <w:p w:rsidR="00504011" w:rsidRPr="00D172FB" w:rsidRDefault="00504011" w:rsidP="00504011">
            <w:pPr>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Kostendekking Titel 3</w:t>
            </w:r>
          </w:p>
        </w:tc>
        <w:tc>
          <w:tcPr>
            <w:tcW w:w="1240" w:type="dxa"/>
            <w:tcBorders>
              <w:top w:val="single" w:sz="8" w:space="0" w:color="auto"/>
              <w:left w:val="nil"/>
              <w:right w:val="single" w:sz="4" w:space="0" w:color="000000"/>
            </w:tcBorders>
            <w:shd w:val="clear" w:color="000000" w:fill="1F497D" w:themeFill="text2"/>
            <w:noWrap/>
            <w:vAlign w:val="center"/>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€ 14.823</w:t>
            </w:r>
          </w:p>
        </w:tc>
        <w:tc>
          <w:tcPr>
            <w:tcW w:w="1240" w:type="dxa"/>
            <w:tcBorders>
              <w:top w:val="single" w:sz="8" w:space="0" w:color="auto"/>
              <w:left w:val="nil"/>
              <w:right w:val="single" w:sz="4" w:space="0" w:color="000000"/>
            </w:tcBorders>
            <w:shd w:val="clear" w:color="000000" w:fill="1F497D" w:themeFill="text2"/>
            <w:noWrap/>
            <w:vAlign w:val="center"/>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€ 6.406</w:t>
            </w:r>
          </w:p>
        </w:tc>
        <w:tc>
          <w:tcPr>
            <w:tcW w:w="1240" w:type="dxa"/>
            <w:tcBorders>
              <w:top w:val="single" w:sz="8" w:space="0" w:color="auto"/>
              <w:left w:val="nil"/>
              <w:right w:val="single" w:sz="4" w:space="0" w:color="000000"/>
            </w:tcBorders>
            <w:shd w:val="clear" w:color="000000" w:fill="1F497D" w:themeFill="text2"/>
            <w:noWrap/>
            <w:vAlign w:val="center"/>
            <w:hideMark/>
          </w:tcPr>
          <w:p w:rsidR="00504011" w:rsidRPr="00D172FB" w:rsidRDefault="00504011" w:rsidP="00504011">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43,22%</w:t>
            </w:r>
          </w:p>
        </w:tc>
      </w:tr>
    </w:tbl>
    <w:p w:rsidR="00F153E6" w:rsidRPr="00F153E6" w:rsidRDefault="00F153E6" w:rsidP="00F153E6">
      <w:pPr>
        <w:rPr>
          <w:rFonts w:ascii="Calibri" w:hAnsi="Calibri" w:cs="Calibri"/>
          <w:b/>
          <w:sz w:val="22"/>
          <w:szCs w:val="22"/>
        </w:rPr>
      </w:pPr>
    </w:p>
    <w:bookmarkEnd w:id="58"/>
    <w:bookmarkEnd w:id="59"/>
    <w:bookmarkEnd w:id="60"/>
    <w:bookmarkEnd w:id="61"/>
    <w:bookmarkEnd w:id="62"/>
    <w:bookmarkEnd w:id="63"/>
    <w:bookmarkEnd w:id="64"/>
    <w:bookmarkEnd w:id="65"/>
    <w:bookmarkEnd w:id="66"/>
    <w:bookmarkEnd w:id="67"/>
    <w:bookmarkEnd w:id="68"/>
    <w:bookmarkEnd w:id="69"/>
    <w:p w:rsidR="001B31A9" w:rsidRPr="00C25D3B" w:rsidRDefault="00E7641B" w:rsidP="00E7641B">
      <w:pPr>
        <w:rPr>
          <w:rFonts w:ascii="Calibri" w:hAnsi="Calibri"/>
          <w:b/>
          <w:sz w:val="22"/>
          <w:szCs w:val="22"/>
          <w:lang w:eastAsia="en-US"/>
        </w:rPr>
      </w:pPr>
      <w:r w:rsidRPr="00C25D3B">
        <w:rPr>
          <w:rFonts w:ascii="Calibri" w:hAnsi="Calibri"/>
          <w:b/>
          <w:sz w:val="22"/>
          <w:szCs w:val="22"/>
          <w:lang w:eastAsia="en-US"/>
        </w:rPr>
        <w:t>Toelichting</w:t>
      </w:r>
    </w:p>
    <w:p w:rsidR="00485B3F" w:rsidRDefault="00FA043D" w:rsidP="00485B3F">
      <w:pPr>
        <w:rPr>
          <w:rFonts w:ascii="Calibri" w:hAnsi="Calibri"/>
          <w:sz w:val="22"/>
          <w:szCs w:val="22"/>
          <w:lang w:eastAsia="en-US"/>
        </w:rPr>
      </w:pPr>
      <w:r w:rsidRPr="00B20B43">
        <w:rPr>
          <w:rFonts w:ascii="Calibri" w:hAnsi="Calibri"/>
          <w:sz w:val="22"/>
          <w:szCs w:val="22"/>
        </w:rPr>
        <w:t>Titel 3 is een klein onderdeel van de legesverordening</w:t>
      </w:r>
      <w:r w:rsidR="00D172FB">
        <w:rPr>
          <w:rFonts w:ascii="Calibri" w:hAnsi="Calibri"/>
          <w:sz w:val="22"/>
          <w:szCs w:val="22"/>
        </w:rPr>
        <w:t>.</w:t>
      </w:r>
      <w:r w:rsidRPr="00B20B43">
        <w:rPr>
          <w:rFonts w:ascii="Calibri" w:hAnsi="Calibri"/>
          <w:sz w:val="22"/>
          <w:szCs w:val="22"/>
        </w:rPr>
        <w:t xml:space="preserve"> Vanwege de maatschappelijke betekenis ervan is dit bij veel gemeente</w:t>
      </w:r>
      <w:r w:rsidR="00B20B43" w:rsidRPr="00B20B43">
        <w:rPr>
          <w:rFonts w:ascii="Calibri" w:hAnsi="Calibri"/>
          <w:sz w:val="22"/>
          <w:szCs w:val="22"/>
        </w:rPr>
        <w:t>n</w:t>
      </w:r>
      <w:r w:rsidRPr="00B20B43">
        <w:rPr>
          <w:rFonts w:ascii="Calibri" w:hAnsi="Calibri"/>
          <w:sz w:val="22"/>
          <w:szCs w:val="22"/>
        </w:rPr>
        <w:t xml:space="preserve"> niet kostendekkend</w:t>
      </w:r>
      <w:r w:rsidR="00D172FB">
        <w:rPr>
          <w:rFonts w:ascii="Calibri" w:hAnsi="Calibri"/>
          <w:sz w:val="22"/>
          <w:szCs w:val="22"/>
        </w:rPr>
        <w:t>, zo ook bij de gemeente Uden</w:t>
      </w:r>
      <w:r w:rsidRPr="00B20B43">
        <w:rPr>
          <w:rFonts w:ascii="Calibri" w:hAnsi="Calibri"/>
          <w:sz w:val="22"/>
          <w:szCs w:val="22"/>
        </w:rPr>
        <w:t>.</w:t>
      </w:r>
      <w:r w:rsidR="00E7641B" w:rsidRPr="00C25D3B">
        <w:rPr>
          <w:rFonts w:ascii="Calibri" w:hAnsi="Calibri"/>
          <w:sz w:val="22"/>
          <w:szCs w:val="22"/>
          <w:lang w:eastAsia="en-US"/>
        </w:rPr>
        <w:t xml:space="preserve"> </w:t>
      </w:r>
      <w:bookmarkStart w:id="70" w:name="_Toc488654361"/>
      <w:bookmarkStart w:id="71" w:name="_Toc490832325"/>
    </w:p>
    <w:p w:rsidR="00485B3F" w:rsidRDefault="00485B3F" w:rsidP="00485B3F">
      <w:pPr>
        <w:rPr>
          <w:rFonts w:ascii="Calibri" w:hAnsi="Calibri"/>
          <w:color w:val="C00000"/>
          <w:sz w:val="24"/>
          <w:szCs w:val="24"/>
        </w:rPr>
      </w:pPr>
    </w:p>
    <w:p w:rsidR="00E30013" w:rsidRPr="00E30013" w:rsidRDefault="00E30013" w:rsidP="00E30013">
      <w:pPr>
        <w:pStyle w:val="Kop1"/>
        <w:numPr>
          <w:ilvl w:val="0"/>
          <w:numId w:val="14"/>
        </w:numPr>
        <w:rPr>
          <w:rFonts w:ascii="Calibri" w:hAnsi="Calibri"/>
          <w:color w:val="C00000"/>
          <w:sz w:val="24"/>
          <w:szCs w:val="24"/>
        </w:rPr>
      </w:pPr>
      <w:r w:rsidRPr="00E30013">
        <w:rPr>
          <w:rFonts w:ascii="Calibri" w:hAnsi="Calibri"/>
          <w:color w:val="C00000"/>
          <w:sz w:val="24"/>
          <w:szCs w:val="24"/>
        </w:rPr>
        <w:lastRenderedPageBreak/>
        <w:t>Conclusie</w:t>
      </w:r>
      <w:bookmarkEnd w:id="70"/>
      <w:bookmarkEnd w:id="71"/>
    </w:p>
    <w:tbl>
      <w:tblPr>
        <w:tblW w:w="9140" w:type="dxa"/>
        <w:tblInd w:w="55" w:type="dxa"/>
        <w:tblCellMar>
          <w:left w:w="70" w:type="dxa"/>
          <w:right w:w="70" w:type="dxa"/>
        </w:tblCellMar>
        <w:tblLook w:val="04A0" w:firstRow="1" w:lastRow="0" w:firstColumn="1" w:lastColumn="0" w:noHBand="0" w:noVBand="1"/>
      </w:tblPr>
      <w:tblGrid>
        <w:gridCol w:w="5372"/>
        <w:gridCol w:w="1256"/>
        <w:gridCol w:w="1256"/>
        <w:gridCol w:w="1256"/>
      </w:tblGrid>
      <w:tr w:rsidR="00D172FB" w:rsidRPr="00D172FB" w:rsidTr="00D172FB">
        <w:trPr>
          <w:trHeight w:val="300"/>
        </w:trPr>
        <w:tc>
          <w:tcPr>
            <w:tcW w:w="5372" w:type="dxa"/>
            <w:tcBorders>
              <w:top w:val="single" w:sz="4" w:space="0" w:color="auto"/>
              <w:left w:val="single" w:sz="8" w:space="0" w:color="auto"/>
              <w:bottom w:val="single" w:sz="4" w:space="0" w:color="auto"/>
              <w:right w:val="single" w:sz="4" w:space="0" w:color="auto"/>
            </w:tcBorders>
            <w:shd w:val="clear" w:color="auto" w:fill="1F497D" w:themeFill="text2"/>
            <w:noWrap/>
            <w:vAlign w:val="center"/>
            <w:hideMark/>
          </w:tcPr>
          <w:p w:rsidR="00D172FB" w:rsidRPr="00D172FB" w:rsidRDefault="00D172FB" w:rsidP="00720725">
            <w:pPr>
              <w:rPr>
                <w:rFonts w:ascii="Calibri" w:eastAsia="Times New Roman" w:hAnsi="Calibri" w:cs="Calibri"/>
                <w:color w:val="FFFFFF" w:themeColor="background1"/>
                <w:sz w:val="16"/>
                <w:szCs w:val="16"/>
              </w:rPr>
            </w:pPr>
            <w:r w:rsidRPr="00D172FB">
              <w:rPr>
                <w:rFonts w:ascii="Calibri" w:eastAsia="Times New Roman" w:hAnsi="Calibri" w:cs="Calibri"/>
                <w:color w:val="FFFFFF" w:themeColor="background1"/>
                <w:sz w:val="16"/>
                <w:szCs w:val="16"/>
              </w:rPr>
              <w:t>Recapitulatie Titel 1, 2 en 3</w:t>
            </w:r>
          </w:p>
        </w:tc>
        <w:tc>
          <w:tcPr>
            <w:tcW w:w="1256" w:type="dxa"/>
            <w:tcBorders>
              <w:top w:val="single" w:sz="4" w:space="0" w:color="auto"/>
              <w:left w:val="nil"/>
              <w:bottom w:val="single" w:sz="4" w:space="0" w:color="auto"/>
              <w:right w:val="single" w:sz="4" w:space="0" w:color="auto"/>
            </w:tcBorders>
            <w:shd w:val="clear" w:color="auto" w:fill="1F497D" w:themeFill="text2"/>
            <w:noWrap/>
            <w:vAlign w:val="center"/>
            <w:hideMark/>
          </w:tcPr>
          <w:p w:rsidR="00D172FB" w:rsidRPr="00D172FB" w:rsidRDefault="00D172FB" w:rsidP="00720725">
            <w:pPr>
              <w:jc w:val="right"/>
              <w:rPr>
                <w:rFonts w:ascii="Calibri" w:eastAsia="Times New Roman" w:hAnsi="Calibri" w:cs="Calibri"/>
                <w:color w:val="FFFFFF" w:themeColor="background1"/>
                <w:sz w:val="16"/>
                <w:szCs w:val="16"/>
              </w:rPr>
            </w:pPr>
            <w:r w:rsidRPr="00D172FB">
              <w:rPr>
                <w:rFonts w:ascii="Calibri" w:eastAsia="Times New Roman" w:hAnsi="Calibri" w:cs="Calibri"/>
                <w:color w:val="FFFFFF" w:themeColor="background1"/>
                <w:sz w:val="16"/>
                <w:szCs w:val="16"/>
              </w:rPr>
              <w:t>Lasten</w:t>
            </w:r>
          </w:p>
        </w:tc>
        <w:tc>
          <w:tcPr>
            <w:tcW w:w="1256" w:type="dxa"/>
            <w:tcBorders>
              <w:top w:val="single" w:sz="4" w:space="0" w:color="auto"/>
              <w:left w:val="nil"/>
              <w:bottom w:val="single" w:sz="4" w:space="0" w:color="auto"/>
              <w:right w:val="single" w:sz="4" w:space="0" w:color="auto"/>
            </w:tcBorders>
            <w:shd w:val="clear" w:color="auto" w:fill="1F497D" w:themeFill="text2"/>
            <w:noWrap/>
            <w:vAlign w:val="center"/>
            <w:hideMark/>
          </w:tcPr>
          <w:p w:rsidR="00D172FB" w:rsidRPr="00D172FB" w:rsidRDefault="00D172FB" w:rsidP="00720725">
            <w:pPr>
              <w:jc w:val="right"/>
              <w:rPr>
                <w:rFonts w:ascii="Calibri" w:eastAsia="Times New Roman" w:hAnsi="Calibri" w:cs="Calibri"/>
                <w:color w:val="FFFFFF" w:themeColor="background1"/>
                <w:sz w:val="16"/>
                <w:szCs w:val="16"/>
              </w:rPr>
            </w:pPr>
            <w:r w:rsidRPr="00D172FB">
              <w:rPr>
                <w:rFonts w:ascii="Calibri" w:eastAsia="Times New Roman" w:hAnsi="Calibri" w:cs="Calibri"/>
                <w:color w:val="FFFFFF" w:themeColor="background1"/>
                <w:sz w:val="16"/>
                <w:szCs w:val="16"/>
              </w:rPr>
              <w:t>Baten</w:t>
            </w:r>
          </w:p>
        </w:tc>
        <w:tc>
          <w:tcPr>
            <w:tcW w:w="1256" w:type="dxa"/>
            <w:tcBorders>
              <w:top w:val="single" w:sz="4" w:space="0" w:color="auto"/>
              <w:left w:val="nil"/>
              <w:bottom w:val="single" w:sz="4" w:space="0" w:color="auto"/>
              <w:right w:val="single" w:sz="4" w:space="0" w:color="auto"/>
            </w:tcBorders>
            <w:shd w:val="clear" w:color="auto" w:fill="1F497D" w:themeFill="text2"/>
            <w:noWrap/>
            <w:vAlign w:val="center"/>
            <w:hideMark/>
          </w:tcPr>
          <w:p w:rsidR="00D172FB" w:rsidRPr="00D172FB" w:rsidRDefault="00D172FB" w:rsidP="00720725">
            <w:pPr>
              <w:jc w:val="right"/>
              <w:rPr>
                <w:rFonts w:ascii="Calibri" w:eastAsia="Times New Roman" w:hAnsi="Calibri" w:cs="Calibri"/>
                <w:color w:val="FFFFFF" w:themeColor="background1"/>
                <w:sz w:val="16"/>
                <w:szCs w:val="16"/>
              </w:rPr>
            </w:pPr>
            <w:r w:rsidRPr="00D172FB">
              <w:rPr>
                <w:rFonts w:ascii="Calibri" w:eastAsia="Times New Roman" w:hAnsi="Calibri" w:cs="Calibri"/>
                <w:color w:val="FFFFFF" w:themeColor="background1"/>
                <w:sz w:val="16"/>
                <w:szCs w:val="16"/>
              </w:rPr>
              <w:t>Kostendekking</w:t>
            </w:r>
          </w:p>
        </w:tc>
      </w:tr>
      <w:tr w:rsidR="009E41BF" w:rsidRPr="00504011" w:rsidTr="00720725">
        <w:trPr>
          <w:trHeight w:val="300"/>
        </w:trPr>
        <w:tc>
          <w:tcPr>
            <w:tcW w:w="5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41BF" w:rsidRPr="00504011" w:rsidRDefault="009E41BF"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€ 886.181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€ 884.583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99,82%</w:t>
            </w:r>
          </w:p>
        </w:tc>
      </w:tr>
      <w:tr w:rsidR="009E41BF" w:rsidRPr="00504011" w:rsidTr="00720725">
        <w:trPr>
          <w:trHeight w:val="300"/>
        </w:trPr>
        <w:tc>
          <w:tcPr>
            <w:tcW w:w="5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41BF" w:rsidRPr="00504011" w:rsidRDefault="009E41BF"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€ 1.544.104</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€ 1.177.876</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76,28%</w:t>
            </w:r>
          </w:p>
        </w:tc>
      </w:tr>
      <w:tr w:rsidR="009E41BF" w:rsidRPr="00504011" w:rsidTr="00D172FB">
        <w:trPr>
          <w:trHeight w:val="300"/>
        </w:trPr>
        <w:tc>
          <w:tcPr>
            <w:tcW w:w="5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41BF" w:rsidRPr="00504011" w:rsidRDefault="009E41BF"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€ 14.823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€ 6.406</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E41BF" w:rsidRPr="00504011" w:rsidRDefault="009E41BF" w:rsidP="00720725">
            <w:pPr>
              <w:jc w:val="right"/>
              <w:rPr>
                <w:rFonts w:ascii="Calibri" w:eastAsia="Times New Roman" w:hAnsi="Calibri" w:cs="Calibri"/>
                <w:sz w:val="16"/>
                <w:szCs w:val="16"/>
              </w:rPr>
            </w:pPr>
            <w:r w:rsidRPr="00504011">
              <w:rPr>
                <w:rFonts w:ascii="Calibri" w:eastAsia="Times New Roman" w:hAnsi="Calibri" w:cs="Calibri"/>
                <w:sz w:val="16"/>
                <w:szCs w:val="16"/>
              </w:rPr>
              <w:t>43,22%</w:t>
            </w:r>
          </w:p>
        </w:tc>
      </w:tr>
      <w:tr w:rsidR="00D172FB" w:rsidRPr="00D172FB" w:rsidTr="00D172FB">
        <w:trPr>
          <w:trHeight w:val="315"/>
        </w:trPr>
        <w:tc>
          <w:tcPr>
            <w:tcW w:w="5372" w:type="dxa"/>
            <w:tcBorders>
              <w:top w:val="single" w:sz="4" w:space="0" w:color="auto"/>
              <w:left w:val="single" w:sz="8" w:space="0" w:color="auto"/>
              <w:bottom w:val="single" w:sz="8" w:space="0" w:color="auto"/>
              <w:right w:val="single" w:sz="4" w:space="0" w:color="000000"/>
            </w:tcBorders>
            <w:shd w:val="clear" w:color="auto" w:fill="1F497D" w:themeFill="text2"/>
            <w:noWrap/>
            <w:vAlign w:val="bottom"/>
            <w:hideMark/>
          </w:tcPr>
          <w:p w:rsidR="009E41BF" w:rsidRPr="00D172FB" w:rsidRDefault="009E41BF" w:rsidP="00720725">
            <w:pPr>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Kostendekking totale tarieventabel</w:t>
            </w:r>
          </w:p>
        </w:tc>
        <w:tc>
          <w:tcPr>
            <w:tcW w:w="1256" w:type="dxa"/>
            <w:tcBorders>
              <w:top w:val="single" w:sz="4" w:space="0" w:color="auto"/>
              <w:left w:val="nil"/>
              <w:bottom w:val="single" w:sz="8" w:space="0" w:color="auto"/>
              <w:right w:val="single" w:sz="4" w:space="0" w:color="000000"/>
            </w:tcBorders>
            <w:shd w:val="clear" w:color="auto" w:fill="1F497D" w:themeFill="text2"/>
            <w:noWrap/>
            <w:vAlign w:val="center"/>
            <w:hideMark/>
          </w:tcPr>
          <w:p w:rsidR="009E41BF" w:rsidRPr="00D172FB" w:rsidRDefault="009E41BF" w:rsidP="00720725">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€ 2.445.108</w:t>
            </w:r>
          </w:p>
        </w:tc>
        <w:tc>
          <w:tcPr>
            <w:tcW w:w="1256" w:type="dxa"/>
            <w:tcBorders>
              <w:top w:val="single" w:sz="4" w:space="0" w:color="auto"/>
              <w:left w:val="nil"/>
              <w:bottom w:val="single" w:sz="8" w:space="0" w:color="auto"/>
              <w:right w:val="single" w:sz="4" w:space="0" w:color="000000"/>
            </w:tcBorders>
            <w:shd w:val="clear" w:color="auto" w:fill="1F497D" w:themeFill="text2"/>
            <w:noWrap/>
            <w:vAlign w:val="center"/>
            <w:hideMark/>
          </w:tcPr>
          <w:p w:rsidR="009E41BF" w:rsidRPr="00D172FB" w:rsidRDefault="009E41BF" w:rsidP="00720725">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€ 2.068.865</w:t>
            </w:r>
          </w:p>
        </w:tc>
        <w:tc>
          <w:tcPr>
            <w:tcW w:w="1256" w:type="dxa"/>
            <w:tcBorders>
              <w:top w:val="single" w:sz="4" w:space="0" w:color="auto"/>
              <w:left w:val="nil"/>
              <w:bottom w:val="single" w:sz="8" w:space="0" w:color="auto"/>
              <w:right w:val="single" w:sz="4" w:space="0" w:color="000000"/>
            </w:tcBorders>
            <w:shd w:val="clear" w:color="auto" w:fill="1F497D" w:themeFill="text2"/>
            <w:noWrap/>
            <w:vAlign w:val="center"/>
            <w:hideMark/>
          </w:tcPr>
          <w:p w:rsidR="009E41BF" w:rsidRPr="00D172FB" w:rsidRDefault="009E41BF" w:rsidP="00720725">
            <w:pPr>
              <w:jc w:val="right"/>
              <w:rPr>
                <w:rFonts w:ascii="Calibri" w:eastAsia="Times New Roman" w:hAnsi="Calibri" w:cs="Calibri"/>
                <w:b/>
                <w:bCs/>
                <w:color w:val="FFFFFF" w:themeColor="background1"/>
                <w:sz w:val="16"/>
                <w:szCs w:val="16"/>
              </w:rPr>
            </w:pPr>
            <w:r w:rsidRPr="00D172FB">
              <w:rPr>
                <w:rFonts w:ascii="Calibri" w:eastAsia="Times New Roman" w:hAnsi="Calibri" w:cs="Calibri"/>
                <w:b/>
                <w:bCs/>
                <w:color w:val="FFFFFF" w:themeColor="background1"/>
                <w:sz w:val="16"/>
                <w:szCs w:val="16"/>
              </w:rPr>
              <w:t>84,61%</w:t>
            </w:r>
          </w:p>
        </w:tc>
      </w:tr>
    </w:tbl>
    <w:p w:rsidR="00F153E6" w:rsidRDefault="00F153E6" w:rsidP="00E30013"/>
    <w:p w:rsidR="004D1A3D" w:rsidRDefault="00FA043D" w:rsidP="00AD500B">
      <w:pPr>
        <w:autoSpaceDE w:val="0"/>
        <w:autoSpaceDN w:val="0"/>
        <w:adjustRightInd w:val="0"/>
        <w:spacing w:line="360" w:lineRule="auto"/>
        <w:rPr>
          <w:rFonts w:ascii="Calibri" w:hAnsi="Calibri" w:cs="Calibri"/>
          <w:sz w:val="22"/>
          <w:szCs w:val="22"/>
        </w:rPr>
      </w:pPr>
      <w:r w:rsidRPr="00B20B43">
        <w:rPr>
          <w:rFonts w:ascii="Calibri" w:hAnsi="Calibri" w:cs="Calibri"/>
          <w:sz w:val="22"/>
          <w:szCs w:val="22"/>
        </w:rPr>
        <w:t xml:space="preserve">De kostendekkendheid van gemeente </w:t>
      </w:r>
      <w:r w:rsidR="00B20B43">
        <w:rPr>
          <w:rFonts w:ascii="Calibri" w:hAnsi="Calibri" w:cs="Calibri"/>
          <w:b/>
          <w:sz w:val="22"/>
          <w:szCs w:val="22"/>
        </w:rPr>
        <w:t xml:space="preserve">Uden </w:t>
      </w:r>
      <w:r w:rsidRPr="00B20B43">
        <w:rPr>
          <w:rFonts w:ascii="Calibri" w:hAnsi="Calibri" w:cs="Calibri"/>
          <w:sz w:val="22"/>
          <w:szCs w:val="22"/>
        </w:rPr>
        <w:t xml:space="preserve">voldoet </w:t>
      </w:r>
      <w:r w:rsidR="007E7A2C">
        <w:rPr>
          <w:rFonts w:ascii="Calibri" w:hAnsi="Calibri" w:cs="Calibri"/>
          <w:sz w:val="22"/>
          <w:szCs w:val="22"/>
        </w:rPr>
        <w:t xml:space="preserve">op basis van de werkelijke resultaten van 2018 </w:t>
      </w:r>
      <w:r w:rsidRPr="00B20B43">
        <w:rPr>
          <w:rFonts w:ascii="Calibri" w:hAnsi="Calibri" w:cs="Calibri"/>
          <w:sz w:val="22"/>
          <w:szCs w:val="22"/>
        </w:rPr>
        <w:t>aan de wettelijk gestelde eisen</w:t>
      </w:r>
      <w:r w:rsidR="009E41BF">
        <w:rPr>
          <w:rFonts w:ascii="Calibri" w:hAnsi="Calibri" w:cs="Calibri"/>
          <w:sz w:val="22"/>
          <w:szCs w:val="22"/>
        </w:rPr>
        <w:t xml:space="preserve"> (lager dan 100%)</w:t>
      </w:r>
      <w:r w:rsidRPr="00B20B43">
        <w:rPr>
          <w:rFonts w:ascii="Calibri" w:hAnsi="Calibri" w:cs="Calibri"/>
          <w:sz w:val="22"/>
          <w:szCs w:val="22"/>
        </w:rPr>
        <w:t xml:space="preserve">. </w:t>
      </w:r>
      <w:r w:rsidR="00D172FB">
        <w:rPr>
          <w:rFonts w:ascii="Calibri" w:hAnsi="Calibri" w:cs="Calibri"/>
          <w:sz w:val="22"/>
          <w:szCs w:val="22"/>
        </w:rPr>
        <w:t>Op basis van de analyse van de oorzaken adviseren wij vooralsnog geen aanpassingen in de begroting en/of tarieven door te voeren</w:t>
      </w:r>
      <w:r w:rsidR="008749FE">
        <w:rPr>
          <w:rFonts w:ascii="Calibri" w:hAnsi="Calibri" w:cs="Calibri"/>
          <w:sz w:val="22"/>
          <w:szCs w:val="22"/>
        </w:rPr>
        <w:t xml:space="preserve">.  </w:t>
      </w:r>
    </w:p>
    <w:p w:rsidR="00FF723B" w:rsidRDefault="00FF723B" w:rsidP="00AD500B">
      <w:pPr>
        <w:autoSpaceDE w:val="0"/>
        <w:autoSpaceDN w:val="0"/>
        <w:adjustRightInd w:val="0"/>
        <w:spacing w:line="360" w:lineRule="auto"/>
        <w:rPr>
          <w:rFonts w:ascii="Calibri" w:hAnsi="Calibri" w:cs="Calibri"/>
          <w:sz w:val="22"/>
          <w:szCs w:val="22"/>
        </w:rPr>
      </w:pPr>
    </w:p>
    <w:p w:rsidR="008749FE" w:rsidRDefault="008749FE" w:rsidP="00AD500B">
      <w:p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Titel 1 voldoet met 99,82% aan de uitgangspunten van de Raad om zo veel als mogelijk kostendekkend te zijn en blijft tevens onder de wettelijke norm van 100%. Er is geen ruimte voor aanpassingen. </w:t>
      </w:r>
    </w:p>
    <w:p w:rsidR="008749FE" w:rsidRDefault="008749FE" w:rsidP="008749FE">
      <w:pPr>
        <w:spacing w:line="360" w:lineRule="auto"/>
        <w:rPr>
          <w:rFonts w:ascii="Calibri" w:hAnsi="Calibri" w:cs="Calibri"/>
          <w:sz w:val="22"/>
          <w:szCs w:val="22"/>
        </w:rPr>
      </w:pPr>
    </w:p>
    <w:p w:rsidR="008749FE" w:rsidRPr="008749FE" w:rsidRDefault="008749FE" w:rsidP="008749FE">
      <w:pPr>
        <w:spacing w:line="360" w:lineRule="auto"/>
        <w:rPr>
          <w:rFonts w:asciiTheme="minorHAnsi" w:hAnsiTheme="minorHAnsi" w:cstheme="minorHAnsi"/>
          <w:sz w:val="22"/>
          <w:szCs w:val="22"/>
        </w:rPr>
      </w:pPr>
      <w:r w:rsidRPr="005B592F">
        <w:rPr>
          <w:rFonts w:ascii="Calibri" w:hAnsi="Calibri" w:cs="Calibri"/>
          <w:sz w:val="22"/>
          <w:szCs w:val="22"/>
        </w:rPr>
        <w:t xml:space="preserve">De kostendekkendheid </w:t>
      </w:r>
      <w:r>
        <w:rPr>
          <w:rFonts w:ascii="Calibri" w:hAnsi="Calibri" w:cs="Calibri"/>
          <w:sz w:val="22"/>
          <w:szCs w:val="22"/>
        </w:rPr>
        <w:t xml:space="preserve"> </w:t>
      </w:r>
      <w:r w:rsidRPr="005B592F">
        <w:rPr>
          <w:rFonts w:ascii="Calibri" w:hAnsi="Calibri" w:cs="Calibri"/>
          <w:sz w:val="22"/>
          <w:szCs w:val="22"/>
        </w:rPr>
        <w:t xml:space="preserve">van </w:t>
      </w:r>
      <w:r w:rsidR="00FF723B">
        <w:rPr>
          <w:rFonts w:ascii="Calibri" w:hAnsi="Calibri" w:cs="Calibri"/>
          <w:sz w:val="22"/>
          <w:szCs w:val="22"/>
        </w:rPr>
        <w:t>T</w:t>
      </w:r>
      <w:r w:rsidRPr="005B592F">
        <w:rPr>
          <w:rFonts w:ascii="Calibri" w:hAnsi="Calibri" w:cs="Calibri"/>
          <w:sz w:val="22"/>
          <w:szCs w:val="22"/>
        </w:rPr>
        <w:t xml:space="preserve">itel 2 is met 76,28% ruim onder de </w:t>
      </w:r>
      <w:r w:rsidR="00FF723B">
        <w:rPr>
          <w:rFonts w:ascii="Calibri" w:hAnsi="Calibri" w:cs="Calibri"/>
          <w:sz w:val="22"/>
          <w:szCs w:val="22"/>
        </w:rPr>
        <w:t>wettelijke 100%</w:t>
      </w:r>
      <w:r>
        <w:rPr>
          <w:rFonts w:ascii="Calibri" w:hAnsi="Calibri" w:cs="Calibri"/>
          <w:sz w:val="22"/>
          <w:szCs w:val="22"/>
        </w:rPr>
        <w:t xml:space="preserve">. We </w:t>
      </w:r>
      <w:r w:rsidRPr="005B592F">
        <w:rPr>
          <w:rFonts w:ascii="Calibri" w:hAnsi="Calibri" w:cs="Calibri"/>
          <w:sz w:val="22"/>
          <w:szCs w:val="22"/>
        </w:rPr>
        <w:t xml:space="preserve">adviseren </w:t>
      </w:r>
      <w:r>
        <w:rPr>
          <w:rFonts w:ascii="Calibri" w:hAnsi="Calibri" w:cs="Calibri"/>
          <w:sz w:val="22"/>
          <w:szCs w:val="22"/>
        </w:rPr>
        <w:t xml:space="preserve">desondanks </w:t>
      </w:r>
      <w:r w:rsidRPr="005B592F">
        <w:rPr>
          <w:rFonts w:ascii="Calibri" w:hAnsi="Calibri" w:cs="Calibri"/>
          <w:sz w:val="22"/>
          <w:szCs w:val="22"/>
        </w:rPr>
        <w:t xml:space="preserve">de tarieven te blijven handhaven. </w:t>
      </w:r>
      <w:r w:rsidR="00FF723B">
        <w:rPr>
          <w:rFonts w:ascii="Calibri" w:hAnsi="Calibri" w:cs="Calibri"/>
          <w:sz w:val="22"/>
          <w:szCs w:val="22"/>
        </w:rPr>
        <w:t>B</w:t>
      </w:r>
      <w:r w:rsidR="00FF723B" w:rsidRPr="005B592F">
        <w:rPr>
          <w:rFonts w:ascii="Calibri" w:hAnsi="Calibri" w:cs="Calibri"/>
          <w:sz w:val="22"/>
          <w:szCs w:val="22"/>
        </w:rPr>
        <w:t xml:space="preserve">ij het </w:t>
      </w:r>
      <w:r w:rsidR="00FF723B">
        <w:rPr>
          <w:rFonts w:ascii="Calibri" w:hAnsi="Calibri" w:cs="Calibri"/>
          <w:sz w:val="22"/>
          <w:szCs w:val="22"/>
        </w:rPr>
        <w:t xml:space="preserve">verhogen </w:t>
      </w:r>
      <w:r w:rsidR="00FF723B" w:rsidRPr="005B592F">
        <w:rPr>
          <w:rFonts w:ascii="Calibri" w:hAnsi="Calibri" w:cs="Calibri"/>
          <w:sz w:val="22"/>
          <w:szCs w:val="22"/>
        </w:rPr>
        <w:t xml:space="preserve">van de tarieven </w:t>
      </w:r>
      <w:r w:rsidR="00FF723B">
        <w:rPr>
          <w:rFonts w:ascii="Calibri" w:hAnsi="Calibri" w:cs="Calibri"/>
          <w:sz w:val="22"/>
          <w:szCs w:val="22"/>
        </w:rPr>
        <w:t xml:space="preserve">is het risico te groot </w:t>
      </w:r>
      <w:r w:rsidR="00FF723B" w:rsidRPr="005B592F">
        <w:rPr>
          <w:rFonts w:ascii="Calibri" w:hAnsi="Calibri" w:cs="Calibri"/>
          <w:sz w:val="22"/>
          <w:szCs w:val="22"/>
        </w:rPr>
        <w:t xml:space="preserve">dat </w:t>
      </w:r>
      <w:r w:rsidR="00FF723B">
        <w:rPr>
          <w:rFonts w:ascii="Calibri" w:hAnsi="Calibri" w:cs="Calibri"/>
          <w:sz w:val="22"/>
          <w:szCs w:val="22"/>
        </w:rPr>
        <w:t xml:space="preserve">de </w:t>
      </w:r>
      <w:r w:rsidR="00FF723B" w:rsidRPr="005B592F">
        <w:rPr>
          <w:rFonts w:ascii="Calibri" w:hAnsi="Calibri" w:cs="Calibri"/>
          <w:sz w:val="22"/>
          <w:szCs w:val="22"/>
        </w:rPr>
        <w:t xml:space="preserve">kostendekkendheid </w:t>
      </w:r>
      <w:r w:rsidR="00FF723B">
        <w:rPr>
          <w:rFonts w:ascii="Calibri" w:hAnsi="Calibri" w:cs="Calibri"/>
          <w:sz w:val="22"/>
          <w:szCs w:val="22"/>
        </w:rPr>
        <w:t xml:space="preserve">boven het wettelijk maximale van 100% zal uitkomen.  </w:t>
      </w:r>
      <w:r w:rsidRPr="005B592F">
        <w:rPr>
          <w:rFonts w:ascii="Calibri" w:hAnsi="Calibri" w:cs="Calibri"/>
          <w:sz w:val="22"/>
          <w:szCs w:val="22"/>
        </w:rPr>
        <w:t>Dit omdat de oorzaken een grillig</w:t>
      </w:r>
      <w:r>
        <w:rPr>
          <w:rFonts w:ascii="Calibri" w:hAnsi="Calibri" w:cs="Calibri"/>
          <w:sz w:val="22"/>
          <w:szCs w:val="22"/>
        </w:rPr>
        <w:t xml:space="preserve"> en  verloop kennen en een incidenteel karakter hebben.  De grotere omvang van bezwaren hebben </w:t>
      </w:r>
      <w:r w:rsidR="00FF723B">
        <w:rPr>
          <w:rFonts w:ascii="Calibri" w:hAnsi="Calibri" w:cs="Calibri"/>
          <w:sz w:val="22"/>
          <w:szCs w:val="22"/>
        </w:rPr>
        <w:t>b</w:t>
      </w:r>
      <w:r>
        <w:rPr>
          <w:rFonts w:ascii="Calibri" w:hAnsi="Calibri" w:cs="Calibri"/>
          <w:sz w:val="22"/>
          <w:szCs w:val="22"/>
        </w:rPr>
        <w:t xml:space="preserve">etrekking op onduidelijke omschrijvingen in de legesverordening welke inmiddels zijn gerepareerd. </w:t>
      </w:r>
      <w:r w:rsidR="00FF723B">
        <w:rPr>
          <w:rFonts w:ascii="Calibri" w:hAnsi="Calibri" w:cs="Calibri"/>
          <w:sz w:val="22"/>
          <w:szCs w:val="22"/>
        </w:rPr>
        <w:t xml:space="preserve">Daarnaast kent 2018 een lichte daling van het aantal vergunningen ten opzichte van 2017. Deze ontwikkeling wordt als incidenteel aangemerkt.  </w:t>
      </w:r>
      <w:r w:rsidR="00FF723B" w:rsidRPr="005B592F">
        <w:rPr>
          <w:rFonts w:ascii="Calibri" w:hAnsi="Calibri" w:cs="Calibri"/>
          <w:sz w:val="22"/>
          <w:szCs w:val="22"/>
        </w:rPr>
        <w:t xml:space="preserve">In 2018 </w:t>
      </w:r>
      <w:r w:rsidR="00FF723B">
        <w:rPr>
          <w:rFonts w:ascii="Calibri" w:hAnsi="Calibri" w:cs="Calibri"/>
          <w:sz w:val="22"/>
          <w:szCs w:val="22"/>
        </w:rPr>
        <w:t>zijn meer uren toegeschreven aan de vergunningverlening</w:t>
      </w:r>
      <w:r w:rsidR="00FF723B" w:rsidRPr="005B592F">
        <w:rPr>
          <w:rFonts w:ascii="Calibri" w:hAnsi="Calibri" w:cs="Calibri"/>
          <w:sz w:val="22"/>
          <w:szCs w:val="22"/>
        </w:rPr>
        <w:t xml:space="preserve">. Dit resulteert in hogere directe loonkosten en </w:t>
      </w:r>
      <w:r w:rsidR="00FF723B">
        <w:rPr>
          <w:rFonts w:ascii="Calibri" w:hAnsi="Calibri" w:cs="Calibri"/>
          <w:sz w:val="22"/>
          <w:szCs w:val="22"/>
        </w:rPr>
        <w:t xml:space="preserve">opslag voor </w:t>
      </w:r>
      <w:r w:rsidR="00FF723B" w:rsidRPr="005B592F">
        <w:rPr>
          <w:rFonts w:ascii="Calibri" w:hAnsi="Calibri" w:cs="Calibri"/>
          <w:sz w:val="22"/>
          <w:szCs w:val="22"/>
        </w:rPr>
        <w:t xml:space="preserve">overhead. </w:t>
      </w:r>
      <w:r w:rsidR="00FF723B" w:rsidRPr="008749FE">
        <w:rPr>
          <w:rFonts w:ascii="Calibri" w:hAnsi="Calibri" w:cs="Calibri"/>
          <w:sz w:val="22"/>
          <w:szCs w:val="22"/>
        </w:rPr>
        <w:t xml:space="preserve">De toename van de uren ligt deels in het feit dat we in 2018 zijn gestart met een optimalisering van het </w:t>
      </w:r>
      <w:proofErr w:type="spellStart"/>
      <w:r w:rsidR="00FF723B" w:rsidRPr="008749FE">
        <w:rPr>
          <w:rFonts w:ascii="Calibri" w:hAnsi="Calibri" w:cs="Calibri"/>
          <w:sz w:val="22"/>
          <w:szCs w:val="22"/>
        </w:rPr>
        <w:t>Wabo</w:t>
      </w:r>
      <w:proofErr w:type="spellEnd"/>
      <w:r w:rsidR="00FF723B" w:rsidRPr="008749FE">
        <w:rPr>
          <w:rFonts w:ascii="Calibri" w:hAnsi="Calibri" w:cs="Calibri"/>
          <w:sz w:val="22"/>
          <w:szCs w:val="22"/>
        </w:rPr>
        <w:t xml:space="preserve">-proces. De inzet van uren die hier is geleverd door alle betrokkenen in het </w:t>
      </w:r>
      <w:proofErr w:type="spellStart"/>
      <w:r w:rsidR="00FF723B" w:rsidRPr="008749FE">
        <w:rPr>
          <w:rFonts w:ascii="Calibri" w:hAnsi="Calibri" w:cs="Calibri"/>
          <w:sz w:val="22"/>
          <w:szCs w:val="22"/>
        </w:rPr>
        <w:t>Wabo</w:t>
      </w:r>
      <w:proofErr w:type="spellEnd"/>
      <w:r w:rsidR="00FF723B" w:rsidRPr="008749FE">
        <w:rPr>
          <w:rFonts w:ascii="Calibri" w:hAnsi="Calibri" w:cs="Calibri"/>
          <w:sz w:val="22"/>
          <w:szCs w:val="22"/>
        </w:rPr>
        <w:t xml:space="preserve">-proces, is een investering geweest in de toekomst, maar drukte in 2018 op de kostendekkendheid. Halverwege 2019 zal het traject zijn afgerond en wordt het nieuwe proces geïmplementeerd. </w:t>
      </w:r>
      <w:r>
        <w:rPr>
          <w:rFonts w:ascii="Calibri" w:hAnsi="Calibri" w:cs="Calibri"/>
          <w:sz w:val="22"/>
          <w:szCs w:val="22"/>
        </w:rPr>
        <w:t xml:space="preserve"> </w:t>
      </w:r>
      <w:r w:rsidRPr="008749FE">
        <w:rPr>
          <w:rFonts w:asciiTheme="minorHAnsi" w:hAnsiTheme="minorHAnsi" w:cstheme="minorHAnsi"/>
          <w:sz w:val="22"/>
          <w:szCs w:val="22"/>
        </w:rPr>
        <w:t>We adviseren daarnaast wel om de tijdsbesteding aan de vergunningverlening te onderzoeken en op basis daarvan noodzakelijke aanpassingen door te voeren in de legesverordening 2020. Ten aanzien van de bezwaren tegen de vastgestelde leges en interpretatiemogelijkheden in dat kader, is een dergelijke wijziging in de legesverordening van 2019 al doorgevoerd.</w:t>
      </w:r>
    </w:p>
    <w:p w:rsidR="008749FE" w:rsidRDefault="008749FE" w:rsidP="00AD500B">
      <w:pPr>
        <w:autoSpaceDE w:val="0"/>
        <w:autoSpaceDN w:val="0"/>
        <w:adjustRightInd w:val="0"/>
        <w:spacing w:line="360" w:lineRule="auto"/>
        <w:rPr>
          <w:rFonts w:ascii="Calibri" w:hAnsi="Calibri"/>
          <w:sz w:val="22"/>
          <w:szCs w:val="22"/>
        </w:rPr>
      </w:pPr>
    </w:p>
    <w:p w:rsidR="004D1A3D" w:rsidRPr="004D1A3D" w:rsidRDefault="008749FE" w:rsidP="00FF723B">
      <w:pPr>
        <w:autoSpaceDE w:val="0"/>
        <w:autoSpaceDN w:val="0"/>
        <w:adjustRightInd w:val="0"/>
        <w:spacing w:line="360" w:lineRule="auto"/>
      </w:pPr>
      <w:r w:rsidRPr="00B20B43">
        <w:rPr>
          <w:rFonts w:ascii="Calibri" w:hAnsi="Calibri"/>
          <w:sz w:val="22"/>
          <w:szCs w:val="22"/>
        </w:rPr>
        <w:t>Titel 3 is een klein onderdeel van de legesverordening</w:t>
      </w:r>
      <w:r>
        <w:rPr>
          <w:rFonts w:ascii="Calibri" w:hAnsi="Calibri"/>
          <w:sz w:val="22"/>
          <w:szCs w:val="22"/>
        </w:rPr>
        <w:t>.</w:t>
      </w:r>
      <w:r w:rsidRPr="00B20B43">
        <w:rPr>
          <w:rFonts w:ascii="Calibri" w:hAnsi="Calibri"/>
          <w:sz w:val="22"/>
          <w:szCs w:val="22"/>
        </w:rPr>
        <w:t xml:space="preserve"> Vanwege de maatschappelijke betekenis ervan is dit bij veel gemeenten niet kostendekkend</w:t>
      </w:r>
      <w:r>
        <w:rPr>
          <w:rFonts w:ascii="Calibri" w:hAnsi="Calibri"/>
          <w:sz w:val="22"/>
          <w:szCs w:val="22"/>
        </w:rPr>
        <w:t>, zo ook bij de gemeente Uden</w:t>
      </w:r>
      <w:r w:rsidRPr="00B20B43">
        <w:rPr>
          <w:rFonts w:ascii="Calibri" w:hAnsi="Calibri"/>
          <w:sz w:val="22"/>
          <w:szCs w:val="22"/>
        </w:rPr>
        <w:t>.</w:t>
      </w:r>
    </w:p>
    <w:p w:rsidR="00FA043D" w:rsidRPr="00E30013" w:rsidRDefault="007E7A2C" w:rsidP="00E30013">
      <w:pPr>
        <w:pStyle w:val="Kop1"/>
      </w:pPr>
      <w:bookmarkStart w:id="72" w:name="_Toc488654362"/>
      <w:bookmarkStart w:id="73" w:name="_Toc490832326"/>
      <w:r>
        <w:rPr>
          <w:rFonts w:ascii="Calibri" w:hAnsi="Calibri" w:cs="Calibri"/>
          <w:sz w:val="22"/>
          <w:szCs w:val="22"/>
        </w:rPr>
        <w:br w:type="page"/>
      </w:r>
      <w:r w:rsidR="00E30013" w:rsidRPr="00E30013">
        <w:rPr>
          <w:rFonts w:ascii="Calibri" w:hAnsi="Calibri"/>
          <w:color w:val="C00000"/>
          <w:sz w:val="24"/>
          <w:szCs w:val="24"/>
        </w:rPr>
        <w:lastRenderedPageBreak/>
        <w:t xml:space="preserve">Bijlage 1 Uitsplitsing kosten </w:t>
      </w:r>
      <w:r>
        <w:rPr>
          <w:rFonts w:ascii="Calibri" w:hAnsi="Calibri"/>
          <w:color w:val="C00000"/>
          <w:sz w:val="24"/>
          <w:szCs w:val="24"/>
        </w:rPr>
        <w:t xml:space="preserve">(per Taakveld/ Overhead) </w:t>
      </w:r>
      <w:r w:rsidR="00E30013" w:rsidRPr="00E30013">
        <w:rPr>
          <w:rFonts w:ascii="Calibri" w:hAnsi="Calibri"/>
          <w:color w:val="C00000"/>
          <w:sz w:val="24"/>
          <w:szCs w:val="24"/>
        </w:rPr>
        <w:t>per hoofdstuk</w:t>
      </w:r>
      <w:bookmarkEnd w:id="72"/>
      <w:bookmarkEnd w:id="73"/>
    </w:p>
    <w:tbl>
      <w:tblPr>
        <w:tblW w:w="9491" w:type="dxa"/>
        <w:tblInd w:w="55" w:type="dxa"/>
        <w:tblCellMar>
          <w:left w:w="70" w:type="dxa"/>
          <w:right w:w="70" w:type="dxa"/>
        </w:tblCellMar>
        <w:tblLook w:val="04A0" w:firstRow="1" w:lastRow="0" w:firstColumn="1" w:lastColumn="0" w:noHBand="0" w:noVBand="1"/>
      </w:tblPr>
      <w:tblGrid>
        <w:gridCol w:w="1062"/>
        <w:gridCol w:w="317"/>
        <w:gridCol w:w="2880"/>
        <w:gridCol w:w="31"/>
        <w:gridCol w:w="996"/>
        <w:gridCol w:w="25"/>
        <w:gridCol w:w="995"/>
        <w:gridCol w:w="19"/>
        <w:gridCol w:w="1008"/>
        <w:gridCol w:w="13"/>
        <w:gridCol w:w="1014"/>
        <w:gridCol w:w="7"/>
        <w:gridCol w:w="1124"/>
      </w:tblGrid>
      <w:tr w:rsidR="00504011" w:rsidRPr="007E7A2C" w:rsidTr="00A36E90">
        <w:trPr>
          <w:trHeight w:val="300"/>
        </w:trPr>
        <w:tc>
          <w:tcPr>
            <w:tcW w:w="4290" w:type="dxa"/>
            <w:gridSpan w:val="4"/>
            <w:tcBorders>
              <w:top w:val="single" w:sz="8" w:space="0" w:color="auto"/>
              <w:left w:val="single" w:sz="8" w:space="0" w:color="auto"/>
              <w:bottom w:val="nil"/>
              <w:right w:val="single" w:sz="4" w:space="0" w:color="000000"/>
            </w:tcBorders>
            <w:shd w:val="clear" w:color="000000" w:fill="D9D9D9"/>
            <w:noWrap/>
            <w:vAlign w:val="bottom"/>
            <w:hideMark/>
          </w:tcPr>
          <w:p w:rsidR="00504011" w:rsidRDefault="00504011" w:rsidP="00504011">
            <w:pPr>
              <w:rPr>
                <w:rFonts w:ascii="Calibri" w:eastAsia="Times New Roman" w:hAnsi="Calibri" w:cs="Calibri"/>
                <w:b/>
                <w:bCs/>
                <w:sz w:val="16"/>
                <w:szCs w:val="16"/>
              </w:rPr>
            </w:pPr>
            <w:r w:rsidRPr="007E7A2C">
              <w:rPr>
                <w:rFonts w:ascii="Calibri" w:eastAsia="Times New Roman" w:hAnsi="Calibri" w:cs="Calibri"/>
                <w:b/>
                <w:bCs/>
                <w:sz w:val="16"/>
                <w:szCs w:val="16"/>
              </w:rPr>
              <w:t>Titel 1 Algemene dienstverlening</w:t>
            </w:r>
          </w:p>
          <w:p w:rsidR="007E7A2C" w:rsidRPr="007E7A2C" w:rsidRDefault="007E7A2C" w:rsidP="00504011">
            <w:pPr>
              <w:rPr>
                <w:rFonts w:ascii="Calibri" w:eastAsia="Times New Roman" w:hAnsi="Calibri" w:cs="Calibri"/>
                <w:b/>
                <w:bCs/>
                <w:sz w:val="16"/>
                <w:szCs w:val="16"/>
              </w:rPr>
            </w:pP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Taakveld</w:t>
            </w:r>
          </w:p>
        </w:tc>
        <w:tc>
          <w:tcPr>
            <w:tcW w:w="1014"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Overhead</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Kosten</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opbrengsten</w:t>
            </w:r>
          </w:p>
        </w:tc>
        <w:tc>
          <w:tcPr>
            <w:tcW w:w="1124" w:type="dxa"/>
            <w:tcBorders>
              <w:top w:val="single" w:sz="8" w:space="0" w:color="auto"/>
              <w:left w:val="nil"/>
              <w:bottom w:val="single" w:sz="4" w:space="0" w:color="000000"/>
              <w:right w:val="single" w:sz="8" w:space="0" w:color="auto"/>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Kostendekking</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Burgerlijke stand</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€ 51.216</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€ 11.484</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€ 62.700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€ 68.421</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109,12%</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2</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Reisdocumenten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€ 378.500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€ 73.692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€ 452.192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€ 451.475</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99,84%</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3</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Rijbewijzen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€ 139.456</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€ 41.789</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€ 181.245</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€ 194.354</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107,23%</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4</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Verstrekkingen uit basisregistratie personen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€ 11.366</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€ 6.823</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€ 18.189</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€ 12.483</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68,63%</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5</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Verstrekkingen op grond van de Algemene Verordening Gegevensverwerking of AVG</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6</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proofErr w:type="spellStart"/>
            <w:r w:rsidRPr="007E7A2C">
              <w:rPr>
                <w:rFonts w:ascii="Calibri" w:eastAsia="Times New Roman" w:hAnsi="Calibri" w:cs="Calibri"/>
                <w:sz w:val="16"/>
                <w:szCs w:val="16"/>
              </w:rPr>
              <w:t>Bestuursstukken</w:t>
            </w:r>
            <w:proofErr w:type="spellEnd"/>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7</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Vastgoedinformatie</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8</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Overige publiekszaken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€ 30.808</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€ 6.372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€ 37.180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€ 26.331</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70,82%</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9</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Gemeentearchief</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10</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Leegstandswet</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€ 594</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€ 260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€ 854</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€ 1.002</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117,33%</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11</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Gemeentegarantie</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12</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Winkeltijdenwet</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13</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Kansspelen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€ 6.049</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€ 3.634</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€ 9.683</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€ 5.743</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59,31%</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14</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Ondergrondse infrastructuren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€ 38.391</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€ 23.045</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€ 61.436</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€ 54.485</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88,69%</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15</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Verkeer en vervoer</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€ 10.374</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€ 3.109</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€ 13.483</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€ 17.308</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128,37%</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16</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Diversen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€ 36.517</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€ 12.702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€ 49.219</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€ 52.981</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107,64%</w:t>
            </w:r>
          </w:p>
        </w:tc>
      </w:tr>
      <w:tr w:rsidR="00504011" w:rsidRPr="007E7A2C" w:rsidTr="00A36E90">
        <w:trPr>
          <w:trHeight w:val="315"/>
        </w:trPr>
        <w:tc>
          <w:tcPr>
            <w:tcW w:w="4290" w:type="dxa"/>
            <w:gridSpan w:val="4"/>
            <w:tcBorders>
              <w:top w:val="single" w:sz="4" w:space="0" w:color="000000"/>
              <w:left w:val="single" w:sz="8" w:space="0" w:color="auto"/>
              <w:bottom w:val="single" w:sz="8" w:space="0" w:color="auto"/>
              <w:right w:val="single" w:sz="4" w:space="0" w:color="000000"/>
            </w:tcBorders>
            <w:shd w:val="clear" w:color="auto" w:fill="auto"/>
            <w:noWrap/>
            <w:vAlign w:val="bottom"/>
            <w:hideMark/>
          </w:tcPr>
          <w:p w:rsidR="00504011" w:rsidRPr="007E7A2C" w:rsidRDefault="00504011" w:rsidP="00504011">
            <w:pPr>
              <w:rPr>
                <w:rFonts w:ascii="Calibri" w:eastAsia="Times New Roman" w:hAnsi="Calibri" w:cs="Calibri"/>
                <w:b/>
                <w:bCs/>
                <w:sz w:val="16"/>
                <w:szCs w:val="16"/>
              </w:rPr>
            </w:pPr>
            <w:r w:rsidRPr="007E7A2C">
              <w:rPr>
                <w:rFonts w:ascii="Calibri" w:eastAsia="Times New Roman" w:hAnsi="Calibri" w:cs="Calibri"/>
                <w:b/>
                <w:bCs/>
                <w:sz w:val="16"/>
                <w:szCs w:val="16"/>
              </w:rPr>
              <w:t>Kostendekking Titel 1</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€ 703.271</w:t>
            </w:r>
          </w:p>
        </w:tc>
        <w:tc>
          <w:tcPr>
            <w:tcW w:w="1014"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€ 182.910</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€ 886.181</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€ 884.583</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99,82%</w:t>
            </w:r>
          </w:p>
        </w:tc>
      </w:tr>
      <w:tr w:rsidR="00504011" w:rsidRPr="007E7A2C" w:rsidTr="00A36E90">
        <w:trPr>
          <w:trHeight w:val="300"/>
        </w:trPr>
        <w:tc>
          <w:tcPr>
            <w:tcW w:w="4290" w:type="dxa"/>
            <w:gridSpan w:val="4"/>
            <w:tcBorders>
              <w:top w:val="single" w:sz="8" w:space="0" w:color="auto"/>
              <w:left w:val="single" w:sz="8" w:space="0" w:color="auto"/>
              <w:bottom w:val="nil"/>
              <w:right w:val="single" w:sz="4" w:space="0" w:color="000000"/>
            </w:tcBorders>
            <w:shd w:val="clear" w:color="000000" w:fill="D9D9D9"/>
            <w:noWrap/>
            <w:vAlign w:val="bottom"/>
            <w:hideMark/>
          </w:tcPr>
          <w:p w:rsidR="00504011" w:rsidRPr="007E7A2C" w:rsidRDefault="00504011" w:rsidP="00504011">
            <w:pPr>
              <w:rPr>
                <w:rFonts w:ascii="Calibri" w:eastAsia="Times New Roman" w:hAnsi="Calibri" w:cs="Calibri"/>
                <w:b/>
                <w:bCs/>
                <w:sz w:val="16"/>
                <w:szCs w:val="16"/>
              </w:rPr>
            </w:pPr>
            <w:r w:rsidRPr="007E7A2C">
              <w:rPr>
                <w:rFonts w:ascii="Calibri" w:eastAsia="Times New Roman" w:hAnsi="Calibri" w:cs="Calibri"/>
                <w:b/>
                <w:bCs/>
                <w:sz w:val="16"/>
                <w:szCs w:val="16"/>
              </w:rPr>
              <w:t>Titel 2 Fysieke leefomgeving / omgevingsvergunning</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Taakveld</w:t>
            </w:r>
          </w:p>
        </w:tc>
        <w:tc>
          <w:tcPr>
            <w:tcW w:w="1014"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Overhead</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Kosten</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opbrengsten</w:t>
            </w:r>
          </w:p>
        </w:tc>
        <w:tc>
          <w:tcPr>
            <w:tcW w:w="1124" w:type="dxa"/>
            <w:tcBorders>
              <w:top w:val="single" w:sz="8" w:space="0" w:color="auto"/>
              <w:left w:val="nil"/>
              <w:bottom w:val="single" w:sz="4" w:space="0" w:color="000000"/>
              <w:right w:val="single" w:sz="8" w:space="0" w:color="auto"/>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Kostendekking</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1</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Begripsomschrijvingen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2</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Omgevingsvergunning</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€ 971.993</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€ 572.111</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€ 1.544.104</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€ 1.177.876</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76,28%</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3</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Vermindering</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4</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Wijziging omgevingsvergunning als gevolg van wijziging project</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5</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Bestemmingswijzigingen zonder activiteiten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A36E90"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6</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In deze titel niet benoemde beschikking</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0,00%</w:t>
            </w:r>
          </w:p>
        </w:tc>
      </w:tr>
      <w:tr w:rsidR="00A36E90" w:rsidRPr="007E7A2C" w:rsidTr="00A36E90">
        <w:trPr>
          <w:trHeight w:val="315"/>
        </w:trPr>
        <w:tc>
          <w:tcPr>
            <w:tcW w:w="4290" w:type="dxa"/>
            <w:gridSpan w:val="4"/>
            <w:tcBorders>
              <w:top w:val="single" w:sz="4" w:space="0" w:color="000000"/>
              <w:left w:val="single" w:sz="8" w:space="0" w:color="auto"/>
              <w:bottom w:val="single" w:sz="8" w:space="0" w:color="auto"/>
              <w:right w:val="single" w:sz="4" w:space="0" w:color="000000"/>
            </w:tcBorders>
            <w:shd w:val="clear" w:color="auto" w:fill="auto"/>
            <w:noWrap/>
            <w:vAlign w:val="bottom"/>
            <w:hideMark/>
          </w:tcPr>
          <w:p w:rsidR="00A36E90" w:rsidRPr="00504011" w:rsidRDefault="00A36E90" w:rsidP="00720725">
            <w:pPr>
              <w:rPr>
                <w:rFonts w:ascii="Calibri" w:eastAsia="Times New Roman" w:hAnsi="Calibri" w:cs="Calibri"/>
                <w:b/>
                <w:bCs/>
                <w:sz w:val="16"/>
                <w:szCs w:val="16"/>
              </w:rPr>
            </w:pPr>
            <w:r w:rsidRPr="00504011">
              <w:rPr>
                <w:rFonts w:ascii="Calibri" w:eastAsia="Times New Roman" w:hAnsi="Calibri" w:cs="Calibri"/>
                <w:b/>
                <w:bCs/>
                <w:sz w:val="16"/>
                <w:szCs w:val="16"/>
              </w:rPr>
              <w:t>Kostendekking Titel 2</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A36E90" w:rsidRPr="00504011" w:rsidRDefault="00A36E90" w:rsidP="00720725">
            <w:pPr>
              <w:jc w:val="right"/>
              <w:rPr>
                <w:rFonts w:ascii="Calibri" w:eastAsia="Times New Roman" w:hAnsi="Calibri" w:cs="Calibri"/>
                <w:b/>
                <w:bCs/>
                <w:sz w:val="16"/>
                <w:szCs w:val="16"/>
              </w:rPr>
            </w:pPr>
            <w:r w:rsidRPr="00504011">
              <w:rPr>
                <w:rFonts w:ascii="Calibri" w:eastAsia="Times New Roman" w:hAnsi="Calibri" w:cs="Calibri"/>
                <w:b/>
                <w:bCs/>
                <w:sz w:val="16"/>
                <w:szCs w:val="16"/>
              </w:rPr>
              <w:t>€ 971.993</w:t>
            </w:r>
          </w:p>
        </w:tc>
        <w:tc>
          <w:tcPr>
            <w:tcW w:w="1014" w:type="dxa"/>
            <w:gridSpan w:val="2"/>
            <w:tcBorders>
              <w:top w:val="nil"/>
              <w:left w:val="nil"/>
              <w:bottom w:val="single" w:sz="8" w:space="0" w:color="auto"/>
              <w:right w:val="single" w:sz="4" w:space="0" w:color="000000"/>
            </w:tcBorders>
            <w:shd w:val="clear" w:color="auto" w:fill="auto"/>
            <w:noWrap/>
            <w:vAlign w:val="center"/>
            <w:hideMark/>
          </w:tcPr>
          <w:p w:rsidR="00A36E90" w:rsidRPr="00504011" w:rsidRDefault="00A36E90" w:rsidP="00720725">
            <w:pPr>
              <w:jc w:val="right"/>
              <w:rPr>
                <w:rFonts w:ascii="Calibri" w:eastAsia="Times New Roman" w:hAnsi="Calibri" w:cs="Calibri"/>
                <w:b/>
                <w:bCs/>
                <w:sz w:val="16"/>
                <w:szCs w:val="16"/>
              </w:rPr>
            </w:pPr>
            <w:r w:rsidRPr="00504011">
              <w:rPr>
                <w:rFonts w:ascii="Calibri" w:eastAsia="Times New Roman" w:hAnsi="Calibri" w:cs="Calibri"/>
                <w:b/>
                <w:bCs/>
                <w:sz w:val="16"/>
                <w:szCs w:val="16"/>
              </w:rPr>
              <w:t>€ 572.111</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A36E90" w:rsidRPr="00504011" w:rsidRDefault="00A36E90" w:rsidP="00720725">
            <w:pPr>
              <w:jc w:val="right"/>
              <w:rPr>
                <w:rFonts w:ascii="Calibri" w:eastAsia="Times New Roman" w:hAnsi="Calibri" w:cs="Calibri"/>
                <w:b/>
                <w:bCs/>
                <w:sz w:val="16"/>
                <w:szCs w:val="16"/>
              </w:rPr>
            </w:pPr>
            <w:r w:rsidRPr="00504011">
              <w:rPr>
                <w:rFonts w:ascii="Calibri" w:eastAsia="Times New Roman" w:hAnsi="Calibri" w:cs="Calibri"/>
                <w:b/>
                <w:bCs/>
                <w:sz w:val="16"/>
                <w:szCs w:val="16"/>
              </w:rPr>
              <w:t>€ 1.544.104</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A36E90" w:rsidRPr="00504011" w:rsidRDefault="00A36E90" w:rsidP="00720725">
            <w:pPr>
              <w:jc w:val="right"/>
              <w:rPr>
                <w:rFonts w:ascii="Calibri" w:eastAsia="Times New Roman" w:hAnsi="Calibri" w:cs="Calibri"/>
                <w:b/>
                <w:bCs/>
                <w:sz w:val="16"/>
                <w:szCs w:val="16"/>
              </w:rPr>
            </w:pPr>
            <w:r w:rsidRPr="00504011">
              <w:rPr>
                <w:rFonts w:ascii="Calibri" w:eastAsia="Times New Roman" w:hAnsi="Calibri" w:cs="Calibri"/>
                <w:b/>
                <w:bCs/>
                <w:sz w:val="16"/>
                <w:szCs w:val="16"/>
              </w:rPr>
              <w:t>€ 1.177.876</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b/>
                <w:bCs/>
                <w:sz w:val="16"/>
                <w:szCs w:val="16"/>
              </w:rPr>
            </w:pPr>
            <w:r w:rsidRPr="00504011">
              <w:rPr>
                <w:rFonts w:ascii="Calibri" w:eastAsia="Times New Roman" w:hAnsi="Calibri" w:cs="Calibri"/>
                <w:b/>
                <w:bCs/>
                <w:sz w:val="16"/>
                <w:szCs w:val="16"/>
              </w:rPr>
              <w:t>76,28%</w:t>
            </w:r>
          </w:p>
        </w:tc>
      </w:tr>
      <w:tr w:rsidR="00504011" w:rsidRPr="007E7A2C" w:rsidTr="00A36E90">
        <w:trPr>
          <w:trHeight w:val="300"/>
        </w:trPr>
        <w:tc>
          <w:tcPr>
            <w:tcW w:w="4290" w:type="dxa"/>
            <w:gridSpan w:val="4"/>
            <w:tcBorders>
              <w:top w:val="single" w:sz="8" w:space="0" w:color="auto"/>
              <w:left w:val="single" w:sz="8" w:space="0" w:color="auto"/>
              <w:bottom w:val="nil"/>
              <w:right w:val="single" w:sz="4" w:space="0" w:color="000000"/>
            </w:tcBorders>
            <w:shd w:val="clear" w:color="000000" w:fill="D9D9D9"/>
            <w:noWrap/>
            <w:vAlign w:val="bottom"/>
            <w:hideMark/>
          </w:tcPr>
          <w:p w:rsidR="00504011" w:rsidRPr="007E7A2C" w:rsidRDefault="00504011" w:rsidP="00504011">
            <w:pPr>
              <w:rPr>
                <w:rFonts w:ascii="Calibri" w:eastAsia="Times New Roman" w:hAnsi="Calibri" w:cs="Calibri"/>
                <w:b/>
                <w:bCs/>
                <w:sz w:val="16"/>
                <w:szCs w:val="16"/>
              </w:rPr>
            </w:pPr>
            <w:r w:rsidRPr="007E7A2C">
              <w:rPr>
                <w:rFonts w:ascii="Calibri" w:eastAsia="Times New Roman" w:hAnsi="Calibri" w:cs="Calibri"/>
                <w:b/>
                <w:bCs/>
                <w:sz w:val="16"/>
                <w:szCs w:val="16"/>
              </w:rPr>
              <w:t>Titel 3 Europese dienstenrichtlijn</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Taakveld</w:t>
            </w:r>
          </w:p>
        </w:tc>
        <w:tc>
          <w:tcPr>
            <w:tcW w:w="1014"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Overhead</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Kosten</w:t>
            </w:r>
          </w:p>
        </w:tc>
        <w:tc>
          <w:tcPr>
            <w:tcW w:w="1021" w:type="dxa"/>
            <w:gridSpan w:val="2"/>
            <w:tcBorders>
              <w:top w:val="single" w:sz="8" w:space="0" w:color="auto"/>
              <w:left w:val="nil"/>
              <w:bottom w:val="nil"/>
              <w:right w:val="single" w:sz="4" w:space="0" w:color="000000"/>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Totale opbrengsten</w:t>
            </w:r>
          </w:p>
        </w:tc>
        <w:tc>
          <w:tcPr>
            <w:tcW w:w="1124" w:type="dxa"/>
            <w:tcBorders>
              <w:top w:val="single" w:sz="8" w:space="0" w:color="auto"/>
              <w:left w:val="nil"/>
              <w:bottom w:val="single" w:sz="4" w:space="0" w:color="000000"/>
              <w:right w:val="single" w:sz="8" w:space="0" w:color="auto"/>
            </w:tcBorders>
            <w:shd w:val="clear" w:color="000000" w:fill="D9D9D9"/>
            <w:noWrap/>
            <w:vAlign w:val="bottom"/>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Kostendekking</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1</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Horeca</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€ 8.725</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€ 5.242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€ 13.967</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€ 6.114</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43,77%</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2</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Organiseren evenementen of markten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€ 534</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€ 322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€ 856</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€ 292</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34,11%</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3</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Prostitutiebedrijven</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hoofdstuk</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4</w:t>
            </w:r>
          </w:p>
        </w:tc>
        <w:tc>
          <w:tcPr>
            <w:tcW w:w="2911" w:type="dxa"/>
            <w:gridSpan w:val="2"/>
            <w:tcBorders>
              <w:top w:val="single" w:sz="4" w:space="0" w:color="auto"/>
              <w:left w:val="nil"/>
              <w:bottom w:val="single" w:sz="4" w:space="0" w:color="auto"/>
              <w:right w:val="single" w:sz="4" w:space="0" w:color="auto"/>
            </w:tcBorders>
            <w:shd w:val="clear" w:color="auto" w:fill="auto"/>
            <w:vAlign w:val="center"/>
            <w:hideMark/>
          </w:tcPr>
          <w:p w:rsidR="00504011" w:rsidRPr="007E7A2C" w:rsidRDefault="00504011" w:rsidP="00504011">
            <w:pPr>
              <w:rPr>
                <w:rFonts w:ascii="Calibri" w:eastAsia="Times New Roman" w:hAnsi="Calibri" w:cs="Calibri"/>
                <w:sz w:val="16"/>
                <w:szCs w:val="16"/>
              </w:rPr>
            </w:pPr>
            <w:r w:rsidRPr="007E7A2C">
              <w:rPr>
                <w:rFonts w:ascii="Calibri" w:eastAsia="Times New Roman" w:hAnsi="Calibri" w:cs="Calibri"/>
                <w:sz w:val="16"/>
                <w:szCs w:val="16"/>
              </w:rPr>
              <w:t>In deze titel niet benoemde vergunning, ontheffing of andere beschikking</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€ 0</w:t>
            </w:r>
          </w:p>
        </w:tc>
        <w:tc>
          <w:tcPr>
            <w:tcW w:w="1124" w:type="dxa"/>
            <w:tcBorders>
              <w:top w:val="nil"/>
              <w:left w:val="nil"/>
              <w:bottom w:val="single" w:sz="4" w:space="0" w:color="000000"/>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sz w:val="16"/>
                <w:szCs w:val="16"/>
              </w:rPr>
            </w:pPr>
            <w:r w:rsidRPr="007E7A2C">
              <w:rPr>
                <w:rFonts w:ascii="Calibri" w:eastAsia="Times New Roman" w:hAnsi="Calibri" w:cs="Calibri"/>
                <w:sz w:val="16"/>
                <w:szCs w:val="16"/>
              </w:rPr>
              <w:t>0,00%</w:t>
            </w:r>
          </w:p>
        </w:tc>
      </w:tr>
      <w:tr w:rsidR="00504011" w:rsidRPr="007E7A2C" w:rsidTr="00A36E90">
        <w:trPr>
          <w:trHeight w:val="315"/>
        </w:trPr>
        <w:tc>
          <w:tcPr>
            <w:tcW w:w="4290" w:type="dxa"/>
            <w:gridSpan w:val="4"/>
            <w:tcBorders>
              <w:top w:val="single" w:sz="4" w:space="0" w:color="000000"/>
              <w:left w:val="single" w:sz="8" w:space="0" w:color="auto"/>
              <w:bottom w:val="single" w:sz="8" w:space="0" w:color="auto"/>
              <w:right w:val="single" w:sz="4" w:space="0" w:color="000000"/>
            </w:tcBorders>
            <w:shd w:val="clear" w:color="auto" w:fill="auto"/>
            <w:noWrap/>
            <w:vAlign w:val="bottom"/>
            <w:hideMark/>
          </w:tcPr>
          <w:p w:rsidR="00504011" w:rsidRPr="007E7A2C" w:rsidRDefault="00504011" w:rsidP="00504011">
            <w:pPr>
              <w:rPr>
                <w:rFonts w:ascii="Calibri" w:eastAsia="Times New Roman" w:hAnsi="Calibri" w:cs="Calibri"/>
                <w:b/>
                <w:bCs/>
                <w:sz w:val="16"/>
                <w:szCs w:val="16"/>
              </w:rPr>
            </w:pPr>
            <w:r w:rsidRPr="007E7A2C">
              <w:rPr>
                <w:rFonts w:ascii="Calibri" w:eastAsia="Times New Roman" w:hAnsi="Calibri" w:cs="Calibri"/>
                <w:b/>
                <w:bCs/>
                <w:sz w:val="16"/>
                <w:szCs w:val="16"/>
              </w:rPr>
              <w:t>Kostendekking Titel 3</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€ 9.259</w:t>
            </w:r>
          </w:p>
        </w:tc>
        <w:tc>
          <w:tcPr>
            <w:tcW w:w="1014"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€ 5.564</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€ 14.823</w:t>
            </w:r>
          </w:p>
        </w:tc>
        <w:tc>
          <w:tcPr>
            <w:tcW w:w="1021" w:type="dxa"/>
            <w:gridSpan w:val="2"/>
            <w:tcBorders>
              <w:top w:val="nil"/>
              <w:left w:val="nil"/>
              <w:bottom w:val="single" w:sz="8" w:space="0" w:color="auto"/>
              <w:right w:val="single" w:sz="4" w:space="0" w:color="000000"/>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€ 6.406</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rsidR="00504011" w:rsidRPr="007E7A2C" w:rsidRDefault="00504011" w:rsidP="00504011">
            <w:pPr>
              <w:jc w:val="right"/>
              <w:rPr>
                <w:rFonts w:ascii="Calibri" w:eastAsia="Times New Roman" w:hAnsi="Calibri" w:cs="Calibri"/>
                <w:b/>
                <w:bCs/>
                <w:sz w:val="16"/>
                <w:szCs w:val="16"/>
              </w:rPr>
            </w:pPr>
            <w:r w:rsidRPr="007E7A2C">
              <w:rPr>
                <w:rFonts w:ascii="Calibri" w:eastAsia="Times New Roman" w:hAnsi="Calibri" w:cs="Calibri"/>
                <w:b/>
                <w:bCs/>
                <w:sz w:val="16"/>
                <w:szCs w:val="16"/>
              </w:rPr>
              <w:t>43,22%</w:t>
            </w:r>
          </w:p>
        </w:tc>
      </w:tr>
      <w:tr w:rsidR="007E7A2C" w:rsidRPr="007E7A2C" w:rsidTr="00A36E90">
        <w:trPr>
          <w:trHeight w:val="300"/>
        </w:trPr>
        <w:tc>
          <w:tcPr>
            <w:tcW w:w="4259" w:type="dxa"/>
            <w:gridSpan w:val="3"/>
            <w:tcBorders>
              <w:top w:val="single" w:sz="8" w:space="0" w:color="auto"/>
              <w:left w:val="single" w:sz="8" w:space="0" w:color="auto"/>
              <w:bottom w:val="nil"/>
              <w:right w:val="single" w:sz="4" w:space="0" w:color="000000"/>
            </w:tcBorders>
            <w:shd w:val="clear" w:color="000000" w:fill="1F497D" w:themeFill="text2"/>
            <w:noWrap/>
            <w:vAlign w:val="bottom"/>
            <w:hideMark/>
          </w:tcPr>
          <w:p w:rsidR="00504011" w:rsidRPr="007E7A2C" w:rsidRDefault="00504011" w:rsidP="00504011">
            <w:pPr>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Recapitulatie Titel 1, 2 en 3</w:t>
            </w:r>
          </w:p>
        </w:tc>
        <w:tc>
          <w:tcPr>
            <w:tcW w:w="1027" w:type="dxa"/>
            <w:gridSpan w:val="2"/>
            <w:tcBorders>
              <w:top w:val="single" w:sz="8" w:space="0" w:color="auto"/>
              <w:left w:val="nil"/>
              <w:bottom w:val="nil"/>
              <w:right w:val="single" w:sz="4" w:space="0" w:color="000000"/>
            </w:tcBorders>
            <w:shd w:val="clear" w:color="000000" w:fill="1F497D" w:themeFill="text2"/>
            <w:noWrap/>
            <w:vAlign w:val="bottom"/>
            <w:hideMark/>
          </w:tcPr>
          <w:p w:rsidR="00504011" w:rsidRPr="007E7A2C" w:rsidRDefault="00504011" w:rsidP="00504011">
            <w:pPr>
              <w:jc w:val="right"/>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Taakveld</w:t>
            </w:r>
          </w:p>
        </w:tc>
        <w:tc>
          <w:tcPr>
            <w:tcW w:w="1020" w:type="dxa"/>
            <w:gridSpan w:val="2"/>
            <w:tcBorders>
              <w:top w:val="single" w:sz="8" w:space="0" w:color="auto"/>
              <w:left w:val="nil"/>
              <w:bottom w:val="nil"/>
              <w:right w:val="single" w:sz="4" w:space="0" w:color="000000"/>
            </w:tcBorders>
            <w:shd w:val="clear" w:color="000000" w:fill="1F497D" w:themeFill="text2"/>
            <w:noWrap/>
            <w:vAlign w:val="bottom"/>
            <w:hideMark/>
          </w:tcPr>
          <w:p w:rsidR="00504011" w:rsidRPr="007E7A2C" w:rsidRDefault="00504011" w:rsidP="00504011">
            <w:pPr>
              <w:jc w:val="right"/>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Overhead</w:t>
            </w:r>
          </w:p>
        </w:tc>
        <w:tc>
          <w:tcPr>
            <w:tcW w:w="1027" w:type="dxa"/>
            <w:gridSpan w:val="2"/>
            <w:tcBorders>
              <w:top w:val="single" w:sz="8" w:space="0" w:color="auto"/>
              <w:left w:val="nil"/>
              <w:bottom w:val="nil"/>
              <w:right w:val="single" w:sz="4" w:space="0" w:color="000000"/>
            </w:tcBorders>
            <w:shd w:val="clear" w:color="000000" w:fill="1F497D" w:themeFill="text2"/>
            <w:noWrap/>
            <w:vAlign w:val="bottom"/>
            <w:hideMark/>
          </w:tcPr>
          <w:p w:rsidR="00504011" w:rsidRPr="007E7A2C" w:rsidRDefault="00504011" w:rsidP="00504011">
            <w:pPr>
              <w:jc w:val="right"/>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Totale Kosten</w:t>
            </w:r>
          </w:p>
        </w:tc>
        <w:tc>
          <w:tcPr>
            <w:tcW w:w="1027" w:type="dxa"/>
            <w:gridSpan w:val="2"/>
            <w:tcBorders>
              <w:top w:val="single" w:sz="8" w:space="0" w:color="auto"/>
              <w:left w:val="nil"/>
              <w:bottom w:val="nil"/>
              <w:right w:val="single" w:sz="4" w:space="0" w:color="000000"/>
            </w:tcBorders>
            <w:shd w:val="clear" w:color="000000" w:fill="1F497D" w:themeFill="text2"/>
            <w:noWrap/>
            <w:vAlign w:val="bottom"/>
            <w:hideMark/>
          </w:tcPr>
          <w:p w:rsidR="00504011" w:rsidRPr="007E7A2C" w:rsidRDefault="00504011" w:rsidP="00504011">
            <w:pPr>
              <w:jc w:val="right"/>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Totale opbrengsten</w:t>
            </w:r>
          </w:p>
        </w:tc>
        <w:tc>
          <w:tcPr>
            <w:tcW w:w="1131" w:type="dxa"/>
            <w:gridSpan w:val="2"/>
            <w:tcBorders>
              <w:top w:val="single" w:sz="8" w:space="0" w:color="auto"/>
              <w:left w:val="nil"/>
              <w:bottom w:val="single" w:sz="4" w:space="0" w:color="000000"/>
              <w:right w:val="single" w:sz="8" w:space="0" w:color="auto"/>
            </w:tcBorders>
            <w:shd w:val="clear" w:color="000000" w:fill="1F497D" w:themeFill="text2"/>
            <w:noWrap/>
            <w:vAlign w:val="bottom"/>
            <w:hideMark/>
          </w:tcPr>
          <w:p w:rsidR="00504011" w:rsidRPr="007E7A2C" w:rsidRDefault="00504011" w:rsidP="00504011">
            <w:pPr>
              <w:jc w:val="right"/>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Kostendekking</w:t>
            </w:r>
          </w:p>
        </w:tc>
      </w:tr>
      <w:tr w:rsidR="00A36E90" w:rsidRPr="007E7A2C" w:rsidTr="00A36E90">
        <w:trPr>
          <w:trHeight w:val="300"/>
        </w:trPr>
        <w:tc>
          <w:tcPr>
            <w:tcW w:w="42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1</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€ 703.271</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€ 182.910</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€ 886.181</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€ 884.583</w:t>
            </w:r>
          </w:p>
        </w:tc>
        <w:tc>
          <w:tcPr>
            <w:tcW w:w="1131" w:type="dxa"/>
            <w:gridSpan w:val="2"/>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99,82%</w:t>
            </w:r>
          </w:p>
        </w:tc>
      </w:tr>
      <w:tr w:rsidR="00A36E90" w:rsidRPr="007E7A2C" w:rsidTr="00A36E90">
        <w:trPr>
          <w:trHeight w:val="300"/>
        </w:trPr>
        <w:tc>
          <w:tcPr>
            <w:tcW w:w="42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2</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€ 971.993</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€ 572.111</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€ 1.544.104</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€ 1.177.876</w:t>
            </w:r>
          </w:p>
        </w:tc>
        <w:tc>
          <w:tcPr>
            <w:tcW w:w="1131" w:type="dxa"/>
            <w:gridSpan w:val="2"/>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76,28%</w:t>
            </w:r>
          </w:p>
        </w:tc>
      </w:tr>
      <w:tr w:rsidR="00A36E90" w:rsidRPr="007E7A2C" w:rsidTr="00A36E90">
        <w:trPr>
          <w:trHeight w:val="300"/>
        </w:trPr>
        <w:tc>
          <w:tcPr>
            <w:tcW w:w="42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E90" w:rsidRPr="00504011" w:rsidRDefault="00A36E90" w:rsidP="00720725">
            <w:pPr>
              <w:rPr>
                <w:rFonts w:ascii="Calibri" w:eastAsia="Times New Roman" w:hAnsi="Calibri" w:cs="Calibri"/>
                <w:sz w:val="16"/>
                <w:szCs w:val="16"/>
              </w:rPr>
            </w:pPr>
            <w:r w:rsidRPr="00504011">
              <w:rPr>
                <w:rFonts w:ascii="Calibri" w:eastAsia="Times New Roman" w:hAnsi="Calibri" w:cs="Calibri"/>
                <w:sz w:val="16"/>
                <w:szCs w:val="16"/>
              </w:rPr>
              <w:t>Kostendekking Titel 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€ 9.259</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€ 5.564</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€ 14.823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€ 6.406</w:t>
            </w:r>
          </w:p>
        </w:tc>
        <w:tc>
          <w:tcPr>
            <w:tcW w:w="1131" w:type="dxa"/>
            <w:gridSpan w:val="2"/>
            <w:tcBorders>
              <w:top w:val="nil"/>
              <w:left w:val="nil"/>
              <w:bottom w:val="single" w:sz="4" w:space="0" w:color="000000"/>
              <w:right w:val="single" w:sz="8" w:space="0" w:color="auto"/>
            </w:tcBorders>
            <w:shd w:val="clear" w:color="auto" w:fill="auto"/>
            <w:noWrap/>
            <w:vAlign w:val="center"/>
            <w:hideMark/>
          </w:tcPr>
          <w:p w:rsidR="00A36E90" w:rsidRPr="00504011" w:rsidRDefault="00A36E90" w:rsidP="00720725">
            <w:pPr>
              <w:jc w:val="right"/>
              <w:rPr>
                <w:rFonts w:ascii="Calibri" w:eastAsia="Times New Roman" w:hAnsi="Calibri" w:cs="Calibri"/>
                <w:sz w:val="16"/>
                <w:szCs w:val="16"/>
              </w:rPr>
            </w:pPr>
            <w:r w:rsidRPr="00504011">
              <w:rPr>
                <w:rFonts w:ascii="Calibri" w:eastAsia="Times New Roman" w:hAnsi="Calibri" w:cs="Calibri"/>
                <w:sz w:val="16"/>
                <w:szCs w:val="16"/>
              </w:rPr>
              <w:t>43,22%</w:t>
            </w:r>
          </w:p>
        </w:tc>
      </w:tr>
      <w:tr w:rsidR="00A36E90" w:rsidRPr="007E7A2C" w:rsidTr="00A36E90">
        <w:trPr>
          <w:trHeight w:val="315"/>
        </w:trPr>
        <w:tc>
          <w:tcPr>
            <w:tcW w:w="4259" w:type="dxa"/>
            <w:gridSpan w:val="3"/>
            <w:tcBorders>
              <w:top w:val="single" w:sz="4" w:space="0" w:color="000000"/>
              <w:left w:val="single" w:sz="8" w:space="0" w:color="auto"/>
              <w:bottom w:val="single" w:sz="8" w:space="0" w:color="auto"/>
              <w:right w:val="single" w:sz="4" w:space="0" w:color="000000"/>
            </w:tcBorders>
            <w:shd w:val="clear" w:color="auto" w:fill="1F497D" w:themeFill="text2"/>
            <w:noWrap/>
            <w:vAlign w:val="bottom"/>
            <w:hideMark/>
          </w:tcPr>
          <w:p w:rsidR="00A36E90" w:rsidRPr="007E7A2C" w:rsidRDefault="00A36E90" w:rsidP="007E7A2C">
            <w:pPr>
              <w:rPr>
                <w:rFonts w:ascii="Calibri" w:eastAsia="Times New Roman" w:hAnsi="Calibri" w:cs="Calibri"/>
                <w:b/>
                <w:bCs/>
                <w:color w:val="FFFFFF" w:themeColor="background1"/>
                <w:sz w:val="16"/>
                <w:szCs w:val="16"/>
              </w:rPr>
            </w:pPr>
            <w:r w:rsidRPr="007E7A2C">
              <w:rPr>
                <w:rFonts w:ascii="Calibri" w:eastAsia="Times New Roman" w:hAnsi="Calibri" w:cs="Calibri"/>
                <w:b/>
                <w:bCs/>
                <w:color w:val="FFFFFF" w:themeColor="background1"/>
                <w:sz w:val="16"/>
                <w:szCs w:val="16"/>
              </w:rPr>
              <w:t>Kostendekking totale tarieventabel</w:t>
            </w:r>
          </w:p>
        </w:tc>
        <w:tc>
          <w:tcPr>
            <w:tcW w:w="1027" w:type="dxa"/>
            <w:gridSpan w:val="2"/>
            <w:tcBorders>
              <w:top w:val="nil"/>
              <w:left w:val="nil"/>
              <w:bottom w:val="single" w:sz="8" w:space="0" w:color="auto"/>
              <w:right w:val="single" w:sz="4" w:space="0" w:color="000000"/>
            </w:tcBorders>
            <w:shd w:val="clear" w:color="auto" w:fill="1F497D" w:themeFill="text2"/>
            <w:noWrap/>
            <w:vAlign w:val="center"/>
            <w:hideMark/>
          </w:tcPr>
          <w:p w:rsidR="00A36E90" w:rsidRPr="00A36E90" w:rsidRDefault="00A36E90" w:rsidP="00720725">
            <w:pPr>
              <w:jc w:val="right"/>
              <w:rPr>
                <w:rFonts w:ascii="Calibri" w:eastAsia="Times New Roman" w:hAnsi="Calibri" w:cs="Calibri"/>
                <w:b/>
                <w:bCs/>
                <w:color w:val="FFFFFF" w:themeColor="background1"/>
                <w:sz w:val="16"/>
                <w:szCs w:val="16"/>
              </w:rPr>
            </w:pPr>
            <w:r w:rsidRPr="00A36E90">
              <w:rPr>
                <w:rFonts w:ascii="Calibri" w:eastAsia="Times New Roman" w:hAnsi="Calibri" w:cs="Calibri"/>
                <w:b/>
                <w:bCs/>
                <w:color w:val="FFFFFF" w:themeColor="background1"/>
                <w:sz w:val="16"/>
                <w:szCs w:val="16"/>
              </w:rPr>
              <w:t>€ 1.684.523</w:t>
            </w:r>
          </w:p>
        </w:tc>
        <w:tc>
          <w:tcPr>
            <w:tcW w:w="1020" w:type="dxa"/>
            <w:gridSpan w:val="2"/>
            <w:tcBorders>
              <w:top w:val="nil"/>
              <w:left w:val="nil"/>
              <w:bottom w:val="single" w:sz="8" w:space="0" w:color="auto"/>
              <w:right w:val="single" w:sz="4" w:space="0" w:color="000000"/>
            </w:tcBorders>
            <w:shd w:val="clear" w:color="auto" w:fill="1F497D" w:themeFill="text2"/>
            <w:noWrap/>
            <w:vAlign w:val="center"/>
            <w:hideMark/>
          </w:tcPr>
          <w:p w:rsidR="00A36E90" w:rsidRPr="00A36E90" w:rsidRDefault="00A36E90" w:rsidP="00720725">
            <w:pPr>
              <w:jc w:val="right"/>
              <w:rPr>
                <w:rFonts w:ascii="Calibri" w:eastAsia="Times New Roman" w:hAnsi="Calibri" w:cs="Calibri"/>
                <w:b/>
                <w:bCs/>
                <w:color w:val="FFFFFF" w:themeColor="background1"/>
                <w:sz w:val="16"/>
                <w:szCs w:val="16"/>
              </w:rPr>
            </w:pPr>
            <w:r w:rsidRPr="00A36E90">
              <w:rPr>
                <w:rFonts w:ascii="Calibri" w:eastAsia="Times New Roman" w:hAnsi="Calibri" w:cs="Calibri"/>
                <w:b/>
                <w:bCs/>
                <w:color w:val="FFFFFF" w:themeColor="background1"/>
                <w:sz w:val="16"/>
                <w:szCs w:val="16"/>
              </w:rPr>
              <w:t>€ 760.585</w:t>
            </w:r>
          </w:p>
        </w:tc>
        <w:tc>
          <w:tcPr>
            <w:tcW w:w="1027" w:type="dxa"/>
            <w:gridSpan w:val="2"/>
            <w:tcBorders>
              <w:top w:val="nil"/>
              <w:left w:val="nil"/>
              <w:bottom w:val="single" w:sz="8" w:space="0" w:color="auto"/>
              <w:right w:val="single" w:sz="4" w:space="0" w:color="000000"/>
            </w:tcBorders>
            <w:shd w:val="clear" w:color="auto" w:fill="1F497D" w:themeFill="text2"/>
            <w:noWrap/>
            <w:vAlign w:val="center"/>
            <w:hideMark/>
          </w:tcPr>
          <w:p w:rsidR="00A36E90" w:rsidRPr="00A36E90" w:rsidRDefault="00A36E90" w:rsidP="00720725">
            <w:pPr>
              <w:jc w:val="right"/>
              <w:rPr>
                <w:rFonts w:ascii="Calibri" w:eastAsia="Times New Roman" w:hAnsi="Calibri" w:cs="Calibri"/>
                <w:b/>
                <w:bCs/>
                <w:color w:val="FFFFFF" w:themeColor="background1"/>
                <w:sz w:val="16"/>
                <w:szCs w:val="16"/>
              </w:rPr>
            </w:pPr>
            <w:r w:rsidRPr="00A36E90">
              <w:rPr>
                <w:rFonts w:ascii="Calibri" w:eastAsia="Times New Roman" w:hAnsi="Calibri" w:cs="Calibri"/>
                <w:b/>
                <w:bCs/>
                <w:color w:val="FFFFFF" w:themeColor="background1"/>
                <w:sz w:val="16"/>
                <w:szCs w:val="16"/>
              </w:rPr>
              <w:t>€ 2.445.108</w:t>
            </w:r>
          </w:p>
        </w:tc>
        <w:tc>
          <w:tcPr>
            <w:tcW w:w="1027" w:type="dxa"/>
            <w:gridSpan w:val="2"/>
            <w:tcBorders>
              <w:top w:val="nil"/>
              <w:left w:val="nil"/>
              <w:bottom w:val="single" w:sz="8" w:space="0" w:color="auto"/>
              <w:right w:val="single" w:sz="4" w:space="0" w:color="000000"/>
            </w:tcBorders>
            <w:shd w:val="clear" w:color="auto" w:fill="1F497D" w:themeFill="text2"/>
            <w:noWrap/>
            <w:vAlign w:val="center"/>
            <w:hideMark/>
          </w:tcPr>
          <w:p w:rsidR="00A36E90" w:rsidRPr="00A36E90" w:rsidRDefault="00A36E90" w:rsidP="00720725">
            <w:pPr>
              <w:jc w:val="right"/>
              <w:rPr>
                <w:rFonts w:ascii="Calibri" w:eastAsia="Times New Roman" w:hAnsi="Calibri" w:cs="Calibri"/>
                <w:b/>
                <w:bCs/>
                <w:color w:val="FFFFFF" w:themeColor="background1"/>
                <w:sz w:val="16"/>
                <w:szCs w:val="16"/>
              </w:rPr>
            </w:pPr>
            <w:r w:rsidRPr="00A36E90">
              <w:rPr>
                <w:rFonts w:ascii="Calibri" w:eastAsia="Times New Roman" w:hAnsi="Calibri" w:cs="Calibri"/>
                <w:b/>
                <w:bCs/>
                <w:color w:val="FFFFFF" w:themeColor="background1"/>
                <w:sz w:val="16"/>
                <w:szCs w:val="16"/>
              </w:rPr>
              <w:t>€ 2.068.865</w:t>
            </w:r>
          </w:p>
        </w:tc>
        <w:tc>
          <w:tcPr>
            <w:tcW w:w="1131" w:type="dxa"/>
            <w:gridSpan w:val="2"/>
            <w:tcBorders>
              <w:top w:val="single" w:sz="4" w:space="0" w:color="auto"/>
              <w:left w:val="nil"/>
              <w:bottom w:val="single" w:sz="8" w:space="0" w:color="auto"/>
              <w:right w:val="single" w:sz="8" w:space="0" w:color="auto"/>
            </w:tcBorders>
            <w:shd w:val="clear" w:color="auto" w:fill="1F497D" w:themeFill="text2"/>
            <w:noWrap/>
            <w:vAlign w:val="center"/>
            <w:hideMark/>
          </w:tcPr>
          <w:p w:rsidR="00A36E90" w:rsidRPr="00A36E90" w:rsidRDefault="00A36E90" w:rsidP="00720725">
            <w:pPr>
              <w:jc w:val="right"/>
              <w:rPr>
                <w:rFonts w:ascii="Calibri" w:eastAsia="Times New Roman" w:hAnsi="Calibri" w:cs="Calibri"/>
                <w:b/>
                <w:bCs/>
                <w:color w:val="FFFFFF" w:themeColor="background1"/>
                <w:sz w:val="16"/>
                <w:szCs w:val="16"/>
              </w:rPr>
            </w:pPr>
            <w:r w:rsidRPr="00A36E90">
              <w:rPr>
                <w:rFonts w:ascii="Calibri" w:eastAsia="Times New Roman" w:hAnsi="Calibri" w:cs="Calibri"/>
                <w:b/>
                <w:bCs/>
                <w:color w:val="FFFFFF" w:themeColor="background1"/>
                <w:sz w:val="16"/>
                <w:szCs w:val="16"/>
              </w:rPr>
              <w:t>84,61%</w:t>
            </w:r>
          </w:p>
        </w:tc>
      </w:tr>
    </w:tbl>
    <w:p w:rsidR="00FA043D" w:rsidRPr="00C25D3B" w:rsidRDefault="00FA043D" w:rsidP="00FF723B">
      <w:pPr>
        <w:autoSpaceDE w:val="0"/>
        <w:autoSpaceDN w:val="0"/>
        <w:adjustRightInd w:val="0"/>
        <w:rPr>
          <w:rFonts w:ascii="Calibri" w:hAnsi="Calibri" w:cs="Calibri"/>
          <w:sz w:val="22"/>
          <w:szCs w:val="22"/>
          <w:lang w:eastAsia="en-US"/>
        </w:rPr>
      </w:pPr>
    </w:p>
    <w:sectPr w:rsidR="00FA043D" w:rsidRPr="00C25D3B" w:rsidSect="00FF723B">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5" w:left="1417" w:header="708"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DF" w:rsidRDefault="00660BDF" w:rsidP="008E65B5">
      <w:r>
        <w:separator/>
      </w:r>
    </w:p>
  </w:endnote>
  <w:endnote w:type="continuationSeparator" w:id="0">
    <w:p w:rsidR="00660BDF" w:rsidRDefault="00660BDF" w:rsidP="008E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rsidP="002D1076">
    <w:pPr>
      <w:pStyle w:val="Voettekst"/>
      <w:tabs>
        <w:tab w:val="left" w:pos="2268"/>
      </w:tabs>
    </w:pPr>
    <w:r>
      <w:t xml:space="preserve">- </w:t>
    </w:r>
    <w:r>
      <w:fldChar w:fldCharType="begin"/>
    </w:r>
    <w:r>
      <w:instrText xml:space="preserve"> PAGE </w:instrText>
    </w:r>
    <w:r>
      <w:fldChar w:fldCharType="separate"/>
    </w:r>
    <w:r w:rsidR="00201F17">
      <w:rPr>
        <w:noProof/>
      </w:rPr>
      <w:t>7</w:t>
    </w:r>
    <w:r>
      <w:fldChar w:fldCharType="end"/>
    </w:r>
    <w:r>
      <w:t xml:space="preserve"> -</w:t>
    </w:r>
    <w:r>
      <w:tab/>
      <w:t>Onderzoek kostendekkendheid leges</w:t>
    </w:r>
  </w:p>
  <w:p w:rsidR="00817A48" w:rsidRDefault="00817A48" w:rsidP="002D1076">
    <w:pPr>
      <w:pStyle w:val="Voettekst"/>
      <w:tabs>
        <w:tab w:val="left" w:pos="2268"/>
      </w:tabs>
    </w:pPr>
    <w:r>
      <w:t xml:space="preserve">    </w:t>
    </w:r>
    <w:r>
      <w:tab/>
    </w:r>
  </w:p>
  <w:p w:rsidR="00817A48" w:rsidRDefault="00817A48">
    <w:pPr>
      <w:pStyle w:val="Voettekst"/>
    </w:pPr>
  </w:p>
  <w:p w:rsidR="00817A48" w:rsidRDefault="00817A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DF" w:rsidRDefault="00660BDF" w:rsidP="008E65B5">
      <w:r>
        <w:separator/>
      </w:r>
    </w:p>
  </w:footnote>
  <w:footnote w:type="continuationSeparator" w:id="0">
    <w:p w:rsidR="00660BDF" w:rsidRDefault="00660BDF" w:rsidP="008E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8" w:rsidRDefault="00817A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6AE"/>
    <w:multiLevelType w:val="hybridMultilevel"/>
    <w:tmpl w:val="0096D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7B15D7"/>
    <w:multiLevelType w:val="hybridMultilevel"/>
    <w:tmpl w:val="6AC0E3EA"/>
    <w:lvl w:ilvl="0" w:tplc="BE6CBF68">
      <w:start w:val="1"/>
      <w:numFmt w:val="decimal"/>
      <w:lvlText w:val="%1."/>
      <w:lvlJc w:val="left"/>
      <w:pPr>
        <w:ind w:left="720" w:hanging="360"/>
      </w:pPr>
      <w:rPr>
        <w:rFonts w:ascii="Arial" w:hAnsi="Arial"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47411D"/>
    <w:multiLevelType w:val="hybridMultilevel"/>
    <w:tmpl w:val="A6A80300"/>
    <w:lvl w:ilvl="0" w:tplc="09F2D23E">
      <w:start w:val="1"/>
      <w:numFmt w:val="decimal"/>
      <w:lvlText w:val="%1."/>
      <w:lvlJc w:val="left"/>
      <w:pPr>
        <w:ind w:left="720" w:hanging="360"/>
      </w:pPr>
      <w:rPr>
        <w:rFonts w:ascii="Arial" w:eastAsia="Times New Roman" w:hAnsi="Arial" w:cs="Arial"/>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4573D9"/>
    <w:multiLevelType w:val="multilevel"/>
    <w:tmpl w:val="42400A28"/>
    <w:lvl w:ilvl="0">
      <w:start w:val="1"/>
      <w:numFmt w:val="decimal"/>
      <w:lvlText w:val="%1."/>
      <w:lvlJc w:val="left"/>
      <w:pPr>
        <w:tabs>
          <w:tab w:val="num" w:pos="720"/>
        </w:tabs>
        <w:ind w:left="720" w:hanging="360"/>
      </w:pPr>
      <w:rPr>
        <w:rFonts w:asciiTheme="minorHAnsi" w:eastAsia="Calibri" w:hAnsiTheme="min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E121A"/>
    <w:multiLevelType w:val="hybridMultilevel"/>
    <w:tmpl w:val="411662F4"/>
    <w:lvl w:ilvl="0" w:tplc="15B41252">
      <w:start w:val="1"/>
      <w:numFmt w:val="bullet"/>
      <w:lvlText w:val="-"/>
      <w:lvlJc w:val="left"/>
      <w:pPr>
        <w:ind w:left="720" w:hanging="360"/>
      </w:pPr>
      <w:rPr>
        <w:rFonts w:ascii="Calibri" w:eastAsia="Times New Roman" w:hAnsi="Calibri" w:cs="Calibr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5641BA"/>
    <w:multiLevelType w:val="hybridMultilevel"/>
    <w:tmpl w:val="8C9CC122"/>
    <w:lvl w:ilvl="0" w:tplc="8EFAB4A2">
      <w:start w:val="3"/>
      <w:numFmt w:val="decimal"/>
      <w:lvlText w:val="%1."/>
      <w:lvlJc w:val="left"/>
      <w:pPr>
        <w:ind w:left="720" w:hanging="360"/>
      </w:pPr>
      <w:rPr>
        <w:rFonts w:ascii="Arial" w:eastAsia="Times New Roman"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226845"/>
    <w:multiLevelType w:val="hybridMultilevel"/>
    <w:tmpl w:val="B7B893BA"/>
    <w:lvl w:ilvl="0" w:tplc="09F2D23E">
      <w:start w:val="1"/>
      <w:numFmt w:val="decimal"/>
      <w:lvlText w:val="%1."/>
      <w:lvlJc w:val="left"/>
      <w:pPr>
        <w:ind w:left="720" w:hanging="360"/>
      </w:pPr>
      <w:rPr>
        <w:rFonts w:ascii="Arial" w:eastAsia="Times New Roman" w:hAnsi="Arial" w:cs="Arial"/>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E935F89"/>
    <w:multiLevelType w:val="hybridMultilevel"/>
    <w:tmpl w:val="71869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1A1641"/>
    <w:multiLevelType w:val="hybridMultilevel"/>
    <w:tmpl w:val="BC0EE67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5ABA4B6D"/>
    <w:multiLevelType w:val="multilevel"/>
    <w:tmpl w:val="971A45D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5CBF5DC9"/>
    <w:multiLevelType w:val="hybridMultilevel"/>
    <w:tmpl w:val="479A6C50"/>
    <w:lvl w:ilvl="0" w:tplc="1F10338C">
      <w:start w:val="1"/>
      <w:numFmt w:val="bullet"/>
      <w:lvlText w:val="o"/>
      <w:lvlJc w:val="left"/>
      <w:pPr>
        <w:tabs>
          <w:tab w:val="num" w:pos="1068"/>
        </w:tabs>
        <w:ind w:left="1068"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42373D"/>
    <w:multiLevelType w:val="hybridMultilevel"/>
    <w:tmpl w:val="0E74D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C23170"/>
    <w:multiLevelType w:val="hybridMultilevel"/>
    <w:tmpl w:val="690C5DE6"/>
    <w:lvl w:ilvl="0" w:tplc="09F2D23E">
      <w:start w:val="1"/>
      <w:numFmt w:val="decimal"/>
      <w:lvlText w:val="%1."/>
      <w:lvlJc w:val="left"/>
      <w:pPr>
        <w:ind w:left="720" w:hanging="360"/>
      </w:pPr>
      <w:rPr>
        <w:rFonts w:ascii="Arial" w:eastAsia="Times New Roman" w:hAnsi="Arial" w:cs="Arial"/>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5687B40"/>
    <w:multiLevelType w:val="hybridMultilevel"/>
    <w:tmpl w:val="41E20130"/>
    <w:lvl w:ilvl="0" w:tplc="1F10338C">
      <w:start w:val="1"/>
      <w:numFmt w:val="bullet"/>
      <w:lvlText w:val="o"/>
      <w:lvlJc w:val="left"/>
      <w:pPr>
        <w:tabs>
          <w:tab w:val="num" w:pos="1068"/>
        </w:tabs>
        <w:ind w:left="1068"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5FE6918"/>
    <w:multiLevelType w:val="hybridMultilevel"/>
    <w:tmpl w:val="1F86A7D2"/>
    <w:lvl w:ilvl="0" w:tplc="CE72A3B6">
      <w:start w:val="1"/>
      <w:numFmt w:val="bullet"/>
      <w:lvlText w:val="-"/>
      <w:lvlJc w:val="left"/>
      <w:pPr>
        <w:ind w:left="720" w:hanging="360"/>
      </w:pPr>
      <w:rPr>
        <w:rFonts w:ascii="Calibri" w:eastAsia="Calibri" w:hAnsi="Calibri"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4A6DFC"/>
    <w:multiLevelType w:val="multilevel"/>
    <w:tmpl w:val="D386497C"/>
    <w:lvl w:ilvl="0">
      <w:start w:val="1"/>
      <w:numFmt w:val="decimal"/>
      <w:lvlText w:val="%1."/>
      <w:lvlJc w:val="left"/>
      <w:pPr>
        <w:ind w:left="720" w:hanging="567"/>
      </w:pPr>
      <w:rPr>
        <w:rFonts w:hint="default"/>
      </w:rPr>
    </w:lvl>
    <w:lvl w:ilvl="1">
      <w:start w:val="1"/>
      <w:numFmt w:val="decimal"/>
      <w:isLgl/>
      <w:lvlText w:val="%1.%2"/>
      <w:lvlJc w:val="left"/>
      <w:pPr>
        <w:ind w:left="1080" w:hanging="92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2"/>
  </w:num>
  <w:num w:numId="4">
    <w:abstractNumId w:val="6"/>
  </w:num>
  <w:num w:numId="5">
    <w:abstractNumId w:val="12"/>
  </w:num>
  <w:num w:numId="6">
    <w:abstractNumId w:val="0"/>
  </w:num>
  <w:num w:numId="7">
    <w:abstractNumId w:val="15"/>
  </w:num>
  <w:num w:numId="8">
    <w:abstractNumId w:val="4"/>
  </w:num>
  <w:num w:numId="9">
    <w:abstractNumId w:val="9"/>
  </w:num>
  <w:num w:numId="10">
    <w:abstractNumId w:val="14"/>
  </w:num>
  <w:num w:numId="11">
    <w:abstractNumId w:val="3"/>
  </w:num>
  <w:num w:numId="12">
    <w:abstractNumId w:val="8"/>
  </w:num>
  <w:num w:numId="13">
    <w:abstractNumId w:val="11"/>
  </w:num>
  <w:num w:numId="14">
    <w:abstractNumId w:val="5"/>
  </w:num>
  <w:num w:numId="15">
    <w:abstractNumId w:val="7"/>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humbnailPath" w:val="C:\Users\jbleeker\AppData\Local\Temp\tmpC3FC.png"/>
  </w:docVars>
  <w:rsids>
    <w:rsidRoot w:val="009E28B3"/>
    <w:rsid w:val="00007B55"/>
    <w:rsid w:val="000216AE"/>
    <w:rsid w:val="00031329"/>
    <w:rsid w:val="000348D0"/>
    <w:rsid w:val="0004089A"/>
    <w:rsid w:val="00045A47"/>
    <w:rsid w:val="0006161E"/>
    <w:rsid w:val="00063244"/>
    <w:rsid w:val="00071AF3"/>
    <w:rsid w:val="00083695"/>
    <w:rsid w:val="00092B24"/>
    <w:rsid w:val="000968E9"/>
    <w:rsid w:val="00097F1B"/>
    <w:rsid w:val="000A7506"/>
    <w:rsid w:val="000C2785"/>
    <w:rsid w:val="000D2044"/>
    <w:rsid w:val="000E294E"/>
    <w:rsid w:val="000E3D8C"/>
    <w:rsid w:val="000E4F07"/>
    <w:rsid w:val="000E6AA5"/>
    <w:rsid w:val="000F0365"/>
    <w:rsid w:val="001001AA"/>
    <w:rsid w:val="00101DA2"/>
    <w:rsid w:val="0010375B"/>
    <w:rsid w:val="00107786"/>
    <w:rsid w:val="0011316C"/>
    <w:rsid w:val="00115612"/>
    <w:rsid w:val="00123289"/>
    <w:rsid w:val="00125A75"/>
    <w:rsid w:val="00125DF7"/>
    <w:rsid w:val="001318E2"/>
    <w:rsid w:val="00141E1A"/>
    <w:rsid w:val="00146B94"/>
    <w:rsid w:val="00155A39"/>
    <w:rsid w:val="0016318D"/>
    <w:rsid w:val="001720A5"/>
    <w:rsid w:val="00183499"/>
    <w:rsid w:val="00197E6C"/>
    <w:rsid w:val="001B31A9"/>
    <w:rsid w:val="001D1E98"/>
    <w:rsid w:val="001D4ACB"/>
    <w:rsid w:val="00200EBA"/>
    <w:rsid w:val="00201F17"/>
    <w:rsid w:val="00250FBD"/>
    <w:rsid w:val="00254447"/>
    <w:rsid w:val="002558CD"/>
    <w:rsid w:val="00257F09"/>
    <w:rsid w:val="00262653"/>
    <w:rsid w:val="00273D64"/>
    <w:rsid w:val="00282812"/>
    <w:rsid w:val="0028437D"/>
    <w:rsid w:val="002A2DF8"/>
    <w:rsid w:val="002C19DF"/>
    <w:rsid w:val="002C2D01"/>
    <w:rsid w:val="002C578E"/>
    <w:rsid w:val="002D1076"/>
    <w:rsid w:val="002D36C2"/>
    <w:rsid w:val="003048DF"/>
    <w:rsid w:val="00306667"/>
    <w:rsid w:val="00307480"/>
    <w:rsid w:val="0031260D"/>
    <w:rsid w:val="00342A84"/>
    <w:rsid w:val="00346028"/>
    <w:rsid w:val="00361F7A"/>
    <w:rsid w:val="00371301"/>
    <w:rsid w:val="003776E5"/>
    <w:rsid w:val="00387B37"/>
    <w:rsid w:val="0039497B"/>
    <w:rsid w:val="003A0DA2"/>
    <w:rsid w:val="003A3415"/>
    <w:rsid w:val="003B0081"/>
    <w:rsid w:val="003B25B6"/>
    <w:rsid w:val="003C163C"/>
    <w:rsid w:val="003C76C8"/>
    <w:rsid w:val="003D0E9F"/>
    <w:rsid w:val="003E035A"/>
    <w:rsid w:val="003E4103"/>
    <w:rsid w:val="0042408F"/>
    <w:rsid w:val="00426198"/>
    <w:rsid w:val="00446CD4"/>
    <w:rsid w:val="0045493E"/>
    <w:rsid w:val="0045572C"/>
    <w:rsid w:val="00455B53"/>
    <w:rsid w:val="004617B9"/>
    <w:rsid w:val="00473EDA"/>
    <w:rsid w:val="00480146"/>
    <w:rsid w:val="00480FDD"/>
    <w:rsid w:val="00485B3F"/>
    <w:rsid w:val="004874AA"/>
    <w:rsid w:val="004908F0"/>
    <w:rsid w:val="004A3A50"/>
    <w:rsid w:val="004A5142"/>
    <w:rsid w:val="004C0D48"/>
    <w:rsid w:val="004C55C6"/>
    <w:rsid w:val="004D00CB"/>
    <w:rsid w:val="004D1A3D"/>
    <w:rsid w:val="004F1FF5"/>
    <w:rsid w:val="004F457E"/>
    <w:rsid w:val="00504011"/>
    <w:rsid w:val="0052286F"/>
    <w:rsid w:val="0053486E"/>
    <w:rsid w:val="0054140C"/>
    <w:rsid w:val="00560024"/>
    <w:rsid w:val="00564C01"/>
    <w:rsid w:val="005701CB"/>
    <w:rsid w:val="00573BEF"/>
    <w:rsid w:val="00585343"/>
    <w:rsid w:val="00586786"/>
    <w:rsid w:val="005A501E"/>
    <w:rsid w:val="005B4CCC"/>
    <w:rsid w:val="005B592F"/>
    <w:rsid w:val="005B6AFA"/>
    <w:rsid w:val="005E08B7"/>
    <w:rsid w:val="00610D5C"/>
    <w:rsid w:val="006150D1"/>
    <w:rsid w:val="00660BDF"/>
    <w:rsid w:val="00672808"/>
    <w:rsid w:val="006863C5"/>
    <w:rsid w:val="00690E44"/>
    <w:rsid w:val="006936B6"/>
    <w:rsid w:val="006949B0"/>
    <w:rsid w:val="006A1E3D"/>
    <w:rsid w:val="006B1FBD"/>
    <w:rsid w:val="006D52A6"/>
    <w:rsid w:val="006F29D3"/>
    <w:rsid w:val="00703B45"/>
    <w:rsid w:val="00712016"/>
    <w:rsid w:val="00720725"/>
    <w:rsid w:val="00731F0B"/>
    <w:rsid w:val="007325C7"/>
    <w:rsid w:val="007327B9"/>
    <w:rsid w:val="00742E94"/>
    <w:rsid w:val="007459C7"/>
    <w:rsid w:val="0076619D"/>
    <w:rsid w:val="00776CB6"/>
    <w:rsid w:val="0077720C"/>
    <w:rsid w:val="00782802"/>
    <w:rsid w:val="007B2DC8"/>
    <w:rsid w:val="007B6E6B"/>
    <w:rsid w:val="007C6B4F"/>
    <w:rsid w:val="007E4870"/>
    <w:rsid w:val="007E6AF6"/>
    <w:rsid w:val="007E7A2C"/>
    <w:rsid w:val="007F11C6"/>
    <w:rsid w:val="0080232D"/>
    <w:rsid w:val="008027A9"/>
    <w:rsid w:val="00817A48"/>
    <w:rsid w:val="00835ED7"/>
    <w:rsid w:val="00853446"/>
    <w:rsid w:val="00855EF2"/>
    <w:rsid w:val="00867386"/>
    <w:rsid w:val="008679A8"/>
    <w:rsid w:val="00870DC1"/>
    <w:rsid w:val="00871469"/>
    <w:rsid w:val="00873D4B"/>
    <w:rsid w:val="00873E34"/>
    <w:rsid w:val="008749FE"/>
    <w:rsid w:val="00885C10"/>
    <w:rsid w:val="0089642D"/>
    <w:rsid w:val="008C3CEA"/>
    <w:rsid w:val="008C5233"/>
    <w:rsid w:val="008E65B5"/>
    <w:rsid w:val="009137AC"/>
    <w:rsid w:val="00930D34"/>
    <w:rsid w:val="00950E43"/>
    <w:rsid w:val="00984419"/>
    <w:rsid w:val="009861E2"/>
    <w:rsid w:val="0099582F"/>
    <w:rsid w:val="009B3388"/>
    <w:rsid w:val="009E28B3"/>
    <w:rsid w:val="009E3A30"/>
    <w:rsid w:val="009E41BF"/>
    <w:rsid w:val="009E5F8A"/>
    <w:rsid w:val="009F3D35"/>
    <w:rsid w:val="009F796F"/>
    <w:rsid w:val="00A02273"/>
    <w:rsid w:val="00A02C10"/>
    <w:rsid w:val="00A30D63"/>
    <w:rsid w:val="00A33AF3"/>
    <w:rsid w:val="00A36E90"/>
    <w:rsid w:val="00A3717C"/>
    <w:rsid w:val="00A44D23"/>
    <w:rsid w:val="00A473BC"/>
    <w:rsid w:val="00A52CA0"/>
    <w:rsid w:val="00A53FD8"/>
    <w:rsid w:val="00A75181"/>
    <w:rsid w:val="00AB684E"/>
    <w:rsid w:val="00AC4D35"/>
    <w:rsid w:val="00AC7910"/>
    <w:rsid w:val="00AD500B"/>
    <w:rsid w:val="00AF1F24"/>
    <w:rsid w:val="00AF448D"/>
    <w:rsid w:val="00AF7ABA"/>
    <w:rsid w:val="00B12936"/>
    <w:rsid w:val="00B20B43"/>
    <w:rsid w:val="00B21AA6"/>
    <w:rsid w:val="00B421AA"/>
    <w:rsid w:val="00B7172E"/>
    <w:rsid w:val="00B76A4E"/>
    <w:rsid w:val="00B94804"/>
    <w:rsid w:val="00B97BE9"/>
    <w:rsid w:val="00BA3624"/>
    <w:rsid w:val="00BB4D4D"/>
    <w:rsid w:val="00BC0B6C"/>
    <w:rsid w:val="00BC4420"/>
    <w:rsid w:val="00BC47F1"/>
    <w:rsid w:val="00BC79D8"/>
    <w:rsid w:val="00BE617D"/>
    <w:rsid w:val="00BF214D"/>
    <w:rsid w:val="00C0152D"/>
    <w:rsid w:val="00C1350B"/>
    <w:rsid w:val="00C16765"/>
    <w:rsid w:val="00C25D3B"/>
    <w:rsid w:val="00C37A26"/>
    <w:rsid w:val="00C4432E"/>
    <w:rsid w:val="00C44FEC"/>
    <w:rsid w:val="00C4608B"/>
    <w:rsid w:val="00C472F2"/>
    <w:rsid w:val="00C51D8F"/>
    <w:rsid w:val="00C627ED"/>
    <w:rsid w:val="00C638C8"/>
    <w:rsid w:val="00C644B2"/>
    <w:rsid w:val="00C740D7"/>
    <w:rsid w:val="00C844BB"/>
    <w:rsid w:val="00C869CC"/>
    <w:rsid w:val="00C93355"/>
    <w:rsid w:val="00CA3856"/>
    <w:rsid w:val="00CC12E6"/>
    <w:rsid w:val="00CC14E7"/>
    <w:rsid w:val="00CD15E9"/>
    <w:rsid w:val="00CD5F23"/>
    <w:rsid w:val="00CF231F"/>
    <w:rsid w:val="00CF3C20"/>
    <w:rsid w:val="00D03223"/>
    <w:rsid w:val="00D172FB"/>
    <w:rsid w:val="00D22894"/>
    <w:rsid w:val="00D43A2C"/>
    <w:rsid w:val="00D472A1"/>
    <w:rsid w:val="00D561D2"/>
    <w:rsid w:val="00D611C1"/>
    <w:rsid w:val="00D803AD"/>
    <w:rsid w:val="00D94C6F"/>
    <w:rsid w:val="00DA6E17"/>
    <w:rsid w:val="00DD1D9C"/>
    <w:rsid w:val="00DE1C95"/>
    <w:rsid w:val="00DE28A2"/>
    <w:rsid w:val="00E04C68"/>
    <w:rsid w:val="00E0574A"/>
    <w:rsid w:val="00E2053A"/>
    <w:rsid w:val="00E23753"/>
    <w:rsid w:val="00E30013"/>
    <w:rsid w:val="00E30900"/>
    <w:rsid w:val="00E36597"/>
    <w:rsid w:val="00E51977"/>
    <w:rsid w:val="00E63023"/>
    <w:rsid w:val="00E67134"/>
    <w:rsid w:val="00E74118"/>
    <w:rsid w:val="00E7641B"/>
    <w:rsid w:val="00E76A7F"/>
    <w:rsid w:val="00E8352D"/>
    <w:rsid w:val="00E9602E"/>
    <w:rsid w:val="00EA434F"/>
    <w:rsid w:val="00EA703A"/>
    <w:rsid w:val="00EB03BF"/>
    <w:rsid w:val="00ED7B22"/>
    <w:rsid w:val="00EE1497"/>
    <w:rsid w:val="00EE3D9B"/>
    <w:rsid w:val="00EE5E26"/>
    <w:rsid w:val="00EF510D"/>
    <w:rsid w:val="00F153E6"/>
    <w:rsid w:val="00F22CD0"/>
    <w:rsid w:val="00F25D64"/>
    <w:rsid w:val="00F27FB3"/>
    <w:rsid w:val="00F30366"/>
    <w:rsid w:val="00F471AD"/>
    <w:rsid w:val="00F53C2C"/>
    <w:rsid w:val="00F57FA3"/>
    <w:rsid w:val="00F91A49"/>
    <w:rsid w:val="00FA043D"/>
    <w:rsid w:val="00FE1423"/>
    <w:rsid w:val="00FF69F8"/>
    <w:rsid w:val="00FF7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qFormat="1"/>
    <w:lsdException w:name="annotation reference"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74A"/>
    <w:rPr>
      <w:rFonts w:ascii="Arial" w:hAnsi="Arial" w:cs="Arial"/>
    </w:rPr>
  </w:style>
  <w:style w:type="paragraph" w:styleId="Kop1">
    <w:name w:val="heading 1"/>
    <w:basedOn w:val="Standaard"/>
    <w:next w:val="Standaard"/>
    <w:link w:val="Kop1Char"/>
    <w:qFormat/>
    <w:locked/>
    <w:rsid w:val="008679A8"/>
    <w:pPr>
      <w:keepNext/>
      <w:spacing w:before="240" w:after="60"/>
      <w:outlineLvl w:val="0"/>
    </w:pPr>
    <w:rPr>
      <w:rFonts w:eastAsia="Times New Roman" w:cs="Times New Roman"/>
      <w:b/>
      <w:bCs/>
      <w:kern w:val="32"/>
      <w:sz w:val="32"/>
      <w:szCs w:val="32"/>
    </w:rPr>
  </w:style>
  <w:style w:type="paragraph" w:styleId="Kop2">
    <w:name w:val="heading 2"/>
    <w:basedOn w:val="Standaard"/>
    <w:next w:val="Standaard"/>
    <w:link w:val="Kop2Char"/>
    <w:unhideWhenUsed/>
    <w:qFormat/>
    <w:locked/>
    <w:rsid w:val="00E67134"/>
    <w:pPr>
      <w:keepNext/>
      <w:spacing w:before="240" w:after="60"/>
      <w:outlineLvl w:val="1"/>
    </w:pPr>
    <w:rPr>
      <w:rFonts w:eastAsia="Times New Roman" w:cs="Times New Roman"/>
      <w:b/>
      <w:bCs/>
      <w:iCs/>
      <w:sz w:val="24"/>
      <w:szCs w:val="28"/>
    </w:rPr>
  </w:style>
  <w:style w:type="paragraph" w:styleId="Kop3">
    <w:name w:val="heading 3"/>
    <w:basedOn w:val="Standaard"/>
    <w:next w:val="Standaard"/>
    <w:link w:val="Kop3Char"/>
    <w:unhideWhenUsed/>
    <w:qFormat/>
    <w:locked/>
    <w:rsid w:val="008C5233"/>
    <w:pPr>
      <w:keepNext/>
      <w:spacing w:before="240" w:after="60"/>
      <w:outlineLvl w:val="2"/>
    </w:pPr>
    <w:rPr>
      <w:rFonts w:eastAsia="Times New Roman" w:cs="Times New Roman"/>
      <w:b/>
      <w:bCs/>
      <w:sz w:val="24"/>
      <w:szCs w:val="26"/>
      <w:u w:val="single"/>
    </w:rPr>
  </w:style>
  <w:style w:type="paragraph" w:styleId="Kop4">
    <w:name w:val="heading 4"/>
    <w:basedOn w:val="Standaard"/>
    <w:next w:val="Standaard"/>
    <w:link w:val="Kop4Char"/>
    <w:unhideWhenUsed/>
    <w:qFormat/>
    <w:locked/>
    <w:rsid w:val="007459C7"/>
    <w:pPr>
      <w:keepNext/>
      <w:spacing w:before="240" w:after="60"/>
      <w:outlineLvl w:val="3"/>
    </w:pPr>
    <w:rPr>
      <w:rFonts w:ascii="Calibri" w:eastAsia="Times New Roman"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28B3"/>
    <w:pPr>
      <w:autoSpaceDE w:val="0"/>
      <w:autoSpaceDN w:val="0"/>
      <w:adjustRightInd w:val="0"/>
    </w:pPr>
    <w:rPr>
      <w:rFonts w:ascii="Arial" w:eastAsia="Times New Roman" w:hAnsi="Arial" w:cs="Arial"/>
      <w:color w:val="000000"/>
      <w:sz w:val="24"/>
      <w:szCs w:val="24"/>
      <w:lang w:eastAsia="en-US"/>
    </w:rPr>
  </w:style>
  <w:style w:type="paragraph" w:customStyle="1" w:styleId="Lijstalinea1">
    <w:name w:val="Lijstalinea1"/>
    <w:basedOn w:val="Standaard"/>
    <w:rsid w:val="006150D1"/>
    <w:pPr>
      <w:ind w:left="720"/>
      <w:contextualSpacing/>
    </w:pPr>
  </w:style>
  <w:style w:type="character" w:styleId="Verwijzingopmerking">
    <w:name w:val="annotation reference"/>
    <w:semiHidden/>
    <w:rsid w:val="006936B6"/>
    <w:rPr>
      <w:sz w:val="16"/>
    </w:rPr>
  </w:style>
  <w:style w:type="paragraph" w:styleId="Tekstopmerking">
    <w:name w:val="annotation text"/>
    <w:basedOn w:val="Standaard"/>
    <w:link w:val="TekstopmerkingChar"/>
    <w:semiHidden/>
    <w:rsid w:val="006936B6"/>
    <w:rPr>
      <w:rFonts w:cs="Times New Roman"/>
    </w:rPr>
  </w:style>
  <w:style w:type="character" w:customStyle="1" w:styleId="TekstopmerkingChar">
    <w:name w:val="Tekst opmerking Char"/>
    <w:link w:val="Tekstopmerking"/>
    <w:semiHidden/>
    <w:locked/>
    <w:rsid w:val="006936B6"/>
    <w:rPr>
      <w:rFonts w:ascii="Arial" w:hAnsi="Arial"/>
    </w:rPr>
  </w:style>
  <w:style w:type="paragraph" w:styleId="Ballontekst">
    <w:name w:val="Balloon Text"/>
    <w:basedOn w:val="Standaard"/>
    <w:link w:val="BallontekstChar"/>
    <w:semiHidden/>
    <w:rsid w:val="006936B6"/>
    <w:rPr>
      <w:rFonts w:ascii="Tahoma" w:hAnsi="Tahoma" w:cs="Times New Roman"/>
      <w:sz w:val="16"/>
    </w:rPr>
  </w:style>
  <w:style w:type="character" w:customStyle="1" w:styleId="BallontekstChar">
    <w:name w:val="Ballontekst Char"/>
    <w:link w:val="Ballontekst"/>
    <w:semiHidden/>
    <w:locked/>
    <w:rsid w:val="006936B6"/>
    <w:rPr>
      <w:rFonts w:ascii="Tahoma" w:hAnsi="Tahoma"/>
      <w:sz w:val="16"/>
    </w:rPr>
  </w:style>
  <w:style w:type="paragraph" w:styleId="Lijstalinea">
    <w:name w:val="List Paragraph"/>
    <w:basedOn w:val="Standaard"/>
    <w:uiPriority w:val="34"/>
    <w:qFormat/>
    <w:rsid w:val="00D561D2"/>
    <w:pPr>
      <w:ind w:left="708"/>
    </w:pPr>
  </w:style>
  <w:style w:type="paragraph" w:customStyle="1" w:styleId="DecimalAligned">
    <w:name w:val="Decimal Aligned"/>
    <w:basedOn w:val="Standaard"/>
    <w:uiPriority w:val="40"/>
    <w:qFormat/>
    <w:rsid w:val="00AF448D"/>
    <w:pPr>
      <w:tabs>
        <w:tab w:val="decimal" w:pos="360"/>
      </w:tabs>
      <w:spacing w:after="200" w:line="276" w:lineRule="auto"/>
    </w:pPr>
    <w:rPr>
      <w:rFonts w:ascii="Calibri" w:hAnsi="Calibri" w:cs="Times New Roman"/>
      <w:sz w:val="22"/>
      <w:szCs w:val="22"/>
    </w:rPr>
  </w:style>
  <w:style w:type="character" w:styleId="Subtielebenadrukking">
    <w:name w:val="Subtle Emphasis"/>
    <w:uiPriority w:val="19"/>
    <w:qFormat/>
    <w:rsid w:val="00AF448D"/>
    <w:rPr>
      <w:i/>
      <w:iCs/>
      <w:color w:val="000000"/>
    </w:rPr>
  </w:style>
  <w:style w:type="paragraph" w:styleId="Onderwerpvanopmerking">
    <w:name w:val="annotation subject"/>
    <w:basedOn w:val="Tekstopmerking"/>
    <w:next w:val="Tekstopmerking"/>
    <w:semiHidden/>
    <w:rsid w:val="00183499"/>
    <w:rPr>
      <w:rFonts w:cs="Arial"/>
      <w:b/>
      <w:bCs/>
    </w:rPr>
  </w:style>
  <w:style w:type="character" w:customStyle="1" w:styleId="Kop1Char">
    <w:name w:val="Kop 1 Char"/>
    <w:link w:val="Kop1"/>
    <w:rsid w:val="008679A8"/>
    <w:rPr>
      <w:rFonts w:ascii="Arial" w:eastAsia="Times New Roman" w:hAnsi="Arial" w:cs="Times New Roman"/>
      <w:b/>
      <w:bCs/>
      <w:kern w:val="32"/>
      <w:sz w:val="32"/>
      <w:szCs w:val="32"/>
    </w:rPr>
  </w:style>
  <w:style w:type="character" w:customStyle="1" w:styleId="Kop2Char">
    <w:name w:val="Kop 2 Char"/>
    <w:link w:val="Kop2"/>
    <w:rsid w:val="00E67134"/>
    <w:rPr>
      <w:rFonts w:ascii="Arial" w:eastAsia="Times New Roman" w:hAnsi="Arial" w:cs="Times New Roman"/>
      <w:b/>
      <w:bCs/>
      <w:iCs/>
      <w:sz w:val="24"/>
      <w:szCs w:val="28"/>
    </w:rPr>
  </w:style>
  <w:style w:type="character" w:customStyle="1" w:styleId="Kop3Char">
    <w:name w:val="Kop 3 Char"/>
    <w:link w:val="Kop3"/>
    <w:rsid w:val="008C5233"/>
    <w:rPr>
      <w:rFonts w:ascii="Arial" w:eastAsia="Times New Roman" w:hAnsi="Arial" w:cs="Times New Roman"/>
      <w:b/>
      <w:bCs/>
      <w:sz w:val="24"/>
      <w:szCs w:val="26"/>
      <w:u w:val="single"/>
    </w:rPr>
  </w:style>
  <w:style w:type="paragraph" w:styleId="Koptekst">
    <w:name w:val="header"/>
    <w:basedOn w:val="Standaard"/>
    <w:link w:val="KoptekstChar"/>
    <w:rsid w:val="008E65B5"/>
    <w:pPr>
      <w:tabs>
        <w:tab w:val="center" w:pos="4536"/>
        <w:tab w:val="right" w:pos="9072"/>
      </w:tabs>
    </w:pPr>
  </w:style>
  <w:style w:type="character" w:customStyle="1" w:styleId="KoptekstChar">
    <w:name w:val="Koptekst Char"/>
    <w:link w:val="Koptekst"/>
    <w:rsid w:val="008E65B5"/>
    <w:rPr>
      <w:rFonts w:ascii="Arial" w:hAnsi="Arial" w:cs="Arial"/>
    </w:rPr>
  </w:style>
  <w:style w:type="paragraph" w:styleId="Voettekst">
    <w:name w:val="footer"/>
    <w:basedOn w:val="Standaard"/>
    <w:link w:val="VoettekstChar"/>
    <w:uiPriority w:val="99"/>
    <w:rsid w:val="008E65B5"/>
    <w:pPr>
      <w:tabs>
        <w:tab w:val="center" w:pos="4536"/>
        <w:tab w:val="right" w:pos="9072"/>
      </w:tabs>
    </w:pPr>
  </w:style>
  <w:style w:type="character" w:customStyle="1" w:styleId="VoettekstChar">
    <w:name w:val="Voettekst Char"/>
    <w:link w:val="Voettekst"/>
    <w:uiPriority w:val="99"/>
    <w:rsid w:val="008E65B5"/>
    <w:rPr>
      <w:rFonts w:ascii="Arial" w:hAnsi="Arial" w:cs="Arial"/>
    </w:rPr>
  </w:style>
  <w:style w:type="character" w:customStyle="1" w:styleId="Kop4Char">
    <w:name w:val="Kop 4 Char"/>
    <w:link w:val="Kop4"/>
    <w:rsid w:val="007459C7"/>
    <w:rPr>
      <w:rFonts w:ascii="Calibri" w:eastAsia="Times New Roman" w:hAnsi="Calibri" w:cs="Times New Roman"/>
      <w:b/>
      <w:bCs/>
      <w:sz w:val="28"/>
      <w:szCs w:val="28"/>
    </w:rPr>
  </w:style>
  <w:style w:type="paragraph" w:styleId="Kopvaninhoudsopgave">
    <w:name w:val="TOC Heading"/>
    <w:basedOn w:val="Kop1"/>
    <w:next w:val="Standaard"/>
    <w:uiPriority w:val="39"/>
    <w:semiHidden/>
    <w:unhideWhenUsed/>
    <w:qFormat/>
    <w:rsid w:val="00C37A26"/>
    <w:pPr>
      <w:keepLines/>
      <w:spacing w:before="480" w:after="0" w:line="276" w:lineRule="auto"/>
      <w:outlineLvl w:val="9"/>
    </w:pPr>
    <w:rPr>
      <w:rFonts w:ascii="Cambria" w:hAnsi="Cambria"/>
      <w:color w:val="365F91"/>
      <w:kern w:val="0"/>
      <w:sz w:val="28"/>
      <w:szCs w:val="28"/>
    </w:rPr>
  </w:style>
  <w:style w:type="paragraph" w:styleId="Inhopg1">
    <w:name w:val="toc 1"/>
    <w:basedOn w:val="Standaard"/>
    <w:next w:val="Standaard"/>
    <w:autoRedefine/>
    <w:uiPriority w:val="39"/>
    <w:locked/>
    <w:rsid w:val="00C37A26"/>
  </w:style>
  <w:style w:type="paragraph" w:styleId="Inhopg2">
    <w:name w:val="toc 2"/>
    <w:basedOn w:val="Standaard"/>
    <w:next w:val="Standaard"/>
    <w:autoRedefine/>
    <w:uiPriority w:val="39"/>
    <w:locked/>
    <w:rsid w:val="00C37A26"/>
    <w:pPr>
      <w:ind w:left="200"/>
    </w:pPr>
  </w:style>
  <w:style w:type="paragraph" w:styleId="Inhopg3">
    <w:name w:val="toc 3"/>
    <w:basedOn w:val="Standaard"/>
    <w:next w:val="Standaard"/>
    <w:autoRedefine/>
    <w:uiPriority w:val="39"/>
    <w:locked/>
    <w:rsid w:val="00C37A26"/>
    <w:pPr>
      <w:ind w:left="400"/>
    </w:pPr>
  </w:style>
  <w:style w:type="character" w:styleId="Hyperlink">
    <w:name w:val="Hyperlink"/>
    <w:uiPriority w:val="99"/>
    <w:unhideWhenUsed/>
    <w:rsid w:val="00C37A26"/>
    <w:rPr>
      <w:color w:val="0000FF"/>
      <w:u w:val="single"/>
    </w:rPr>
  </w:style>
  <w:style w:type="paragraph" w:styleId="Tekstzonderopmaak">
    <w:name w:val="Plain Text"/>
    <w:basedOn w:val="Standaard"/>
    <w:link w:val="TekstzonderopmaakChar"/>
    <w:uiPriority w:val="99"/>
    <w:unhideWhenUsed/>
    <w:rsid w:val="005E08B7"/>
    <w:rPr>
      <w:rFonts w:ascii="Calibri" w:hAnsi="Calibri" w:cs="Times New Roman"/>
      <w:sz w:val="22"/>
      <w:szCs w:val="21"/>
      <w:lang w:eastAsia="en-US"/>
    </w:rPr>
  </w:style>
  <w:style w:type="character" w:customStyle="1" w:styleId="TekstzonderopmaakChar">
    <w:name w:val="Tekst zonder opmaak Char"/>
    <w:link w:val="Tekstzonderopmaak"/>
    <w:uiPriority w:val="99"/>
    <w:rsid w:val="005E08B7"/>
    <w:rPr>
      <w:sz w:val="22"/>
      <w:szCs w:val="21"/>
      <w:lang w:eastAsia="en-US"/>
    </w:rPr>
  </w:style>
  <w:style w:type="paragraph" w:styleId="Normaalweb">
    <w:name w:val="Normal (Web)"/>
    <w:basedOn w:val="Standaard"/>
    <w:uiPriority w:val="99"/>
    <w:unhideWhenUsed/>
    <w:rsid w:val="006863C5"/>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qFormat="1"/>
    <w:lsdException w:name="annotation reference"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74A"/>
    <w:rPr>
      <w:rFonts w:ascii="Arial" w:hAnsi="Arial" w:cs="Arial"/>
    </w:rPr>
  </w:style>
  <w:style w:type="paragraph" w:styleId="Kop1">
    <w:name w:val="heading 1"/>
    <w:basedOn w:val="Standaard"/>
    <w:next w:val="Standaard"/>
    <w:link w:val="Kop1Char"/>
    <w:qFormat/>
    <w:locked/>
    <w:rsid w:val="008679A8"/>
    <w:pPr>
      <w:keepNext/>
      <w:spacing w:before="240" w:after="60"/>
      <w:outlineLvl w:val="0"/>
    </w:pPr>
    <w:rPr>
      <w:rFonts w:eastAsia="Times New Roman" w:cs="Times New Roman"/>
      <w:b/>
      <w:bCs/>
      <w:kern w:val="32"/>
      <w:sz w:val="32"/>
      <w:szCs w:val="32"/>
    </w:rPr>
  </w:style>
  <w:style w:type="paragraph" w:styleId="Kop2">
    <w:name w:val="heading 2"/>
    <w:basedOn w:val="Standaard"/>
    <w:next w:val="Standaard"/>
    <w:link w:val="Kop2Char"/>
    <w:unhideWhenUsed/>
    <w:qFormat/>
    <w:locked/>
    <w:rsid w:val="00E67134"/>
    <w:pPr>
      <w:keepNext/>
      <w:spacing w:before="240" w:after="60"/>
      <w:outlineLvl w:val="1"/>
    </w:pPr>
    <w:rPr>
      <w:rFonts w:eastAsia="Times New Roman" w:cs="Times New Roman"/>
      <w:b/>
      <w:bCs/>
      <w:iCs/>
      <w:sz w:val="24"/>
      <w:szCs w:val="28"/>
    </w:rPr>
  </w:style>
  <w:style w:type="paragraph" w:styleId="Kop3">
    <w:name w:val="heading 3"/>
    <w:basedOn w:val="Standaard"/>
    <w:next w:val="Standaard"/>
    <w:link w:val="Kop3Char"/>
    <w:unhideWhenUsed/>
    <w:qFormat/>
    <w:locked/>
    <w:rsid w:val="008C5233"/>
    <w:pPr>
      <w:keepNext/>
      <w:spacing w:before="240" w:after="60"/>
      <w:outlineLvl w:val="2"/>
    </w:pPr>
    <w:rPr>
      <w:rFonts w:eastAsia="Times New Roman" w:cs="Times New Roman"/>
      <w:b/>
      <w:bCs/>
      <w:sz w:val="24"/>
      <w:szCs w:val="26"/>
      <w:u w:val="single"/>
    </w:rPr>
  </w:style>
  <w:style w:type="paragraph" w:styleId="Kop4">
    <w:name w:val="heading 4"/>
    <w:basedOn w:val="Standaard"/>
    <w:next w:val="Standaard"/>
    <w:link w:val="Kop4Char"/>
    <w:unhideWhenUsed/>
    <w:qFormat/>
    <w:locked/>
    <w:rsid w:val="007459C7"/>
    <w:pPr>
      <w:keepNext/>
      <w:spacing w:before="240" w:after="60"/>
      <w:outlineLvl w:val="3"/>
    </w:pPr>
    <w:rPr>
      <w:rFonts w:ascii="Calibri" w:eastAsia="Times New Roman"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28B3"/>
    <w:pPr>
      <w:autoSpaceDE w:val="0"/>
      <w:autoSpaceDN w:val="0"/>
      <w:adjustRightInd w:val="0"/>
    </w:pPr>
    <w:rPr>
      <w:rFonts w:ascii="Arial" w:eastAsia="Times New Roman" w:hAnsi="Arial" w:cs="Arial"/>
      <w:color w:val="000000"/>
      <w:sz w:val="24"/>
      <w:szCs w:val="24"/>
      <w:lang w:eastAsia="en-US"/>
    </w:rPr>
  </w:style>
  <w:style w:type="paragraph" w:customStyle="1" w:styleId="Lijstalinea1">
    <w:name w:val="Lijstalinea1"/>
    <w:basedOn w:val="Standaard"/>
    <w:rsid w:val="006150D1"/>
    <w:pPr>
      <w:ind w:left="720"/>
      <w:contextualSpacing/>
    </w:pPr>
  </w:style>
  <w:style w:type="character" w:styleId="Verwijzingopmerking">
    <w:name w:val="annotation reference"/>
    <w:semiHidden/>
    <w:rsid w:val="006936B6"/>
    <w:rPr>
      <w:sz w:val="16"/>
    </w:rPr>
  </w:style>
  <w:style w:type="paragraph" w:styleId="Tekstopmerking">
    <w:name w:val="annotation text"/>
    <w:basedOn w:val="Standaard"/>
    <w:link w:val="TekstopmerkingChar"/>
    <w:semiHidden/>
    <w:rsid w:val="006936B6"/>
    <w:rPr>
      <w:rFonts w:cs="Times New Roman"/>
    </w:rPr>
  </w:style>
  <w:style w:type="character" w:customStyle="1" w:styleId="TekstopmerkingChar">
    <w:name w:val="Tekst opmerking Char"/>
    <w:link w:val="Tekstopmerking"/>
    <w:semiHidden/>
    <w:locked/>
    <w:rsid w:val="006936B6"/>
    <w:rPr>
      <w:rFonts w:ascii="Arial" w:hAnsi="Arial"/>
    </w:rPr>
  </w:style>
  <w:style w:type="paragraph" w:styleId="Ballontekst">
    <w:name w:val="Balloon Text"/>
    <w:basedOn w:val="Standaard"/>
    <w:link w:val="BallontekstChar"/>
    <w:semiHidden/>
    <w:rsid w:val="006936B6"/>
    <w:rPr>
      <w:rFonts w:ascii="Tahoma" w:hAnsi="Tahoma" w:cs="Times New Roman"/>
      <w:sz w:val="16"/>
    </w:rPr>
  </w:style>
  <w:style w:type="character" w:customStyle="1" w:styleId="BallontekstChar">
    <w:name w:val="Ballontekst Char"/>
    <w:link w:val="Ballontekst"/>
    <w:semiHidden/>
    <w:locked/>
    <w:rsid w:val="006936B6"/>
    <w:rPr>
      <w:rFonts w:ascii="Tahoma" w:hAnsi="Tahoma"/>
      <w:sz w:val="16"/>
    </w:rPr>
  </w:style>
  <w:style w:type="paragraph" w:styleId="Lijstalinea">
    <w:name w:val="List Paragraph"/>
    <w:basedOn w:val="Standaard"/>
    <w:uiPriority w:val="34"/>
    <w:qFormat/>
    <w:rsid w:val="00D561D2"/>
    <w:pPr>
      <w:ind w:left="708"/>
    </w:pPr>
  </w:style>
  <w:style w:type="paragraph" w:customStyle="1" w:styleId="DecimalAligned">
    <w:name w:val="Decimal Aligned"/>
    <w:basedOn w:val="Standaard"/>
    <w:uiPriority w:val="40"/>
    <w:qFormat/>
    <w:rsid w:val="00AF448D"/>
    <w:pPr>
      <w:tabs>
        <w:tab w:val="decimal" w:pos="360"/>
      </w:tabs>
      <w:spacing w:after="200" w:line="276" w:lineRule="auto"/>
    </w:pPr>
    <w:rPr>
      <w:rFonts w:ascii="Calibri" w:hAnsi="Calibri" w:cs="Times New Roman"/>
      <w:sz w:val="22"/>
      <w:szCs w:val="22"/>
    </w:rPr>
  </w:style>
  <w:style w:type="character" w:styleId="Subtielebenadrukking">
    <w:name w:val="Subtle Emphasis"/>
    <w:uiPriority w:val="19"/>
    <w:qFormat/>
    <w:rsid w:val="00AF448D"/>
    <w:rPr>
      <w:i/>
      <w:iCs/>
      <w:color w:val="000000"/>
    </w:rPr>
  </w:style>
  <w:style w:type="paragraph" w:styleId="Onderwerpvanopmerking">
    <w:name w:val="annotation subject"/>
    <w:basedOn w:val="Tekstopmerking"/>
    <w:next w:val="Tekstopmerking"/>
    <w:semiHidden/>
    <w:rsid w:val="00183499"/>
    <w:rPr>
      <w:rFonts w:cs="Arial"/>
      <w:b/>
      <w:bCs/>
    </w:rPr>
  </w:style>
  <w:style w:type="character" w:customStyle="1" w:styleId="Kop1Char">
    <w:name w:val="Kop 1 Char"/>
    <w:link w:val="Kop1"/>
    <w:rsid w:val="008679A8"/>
    <w:rPr>
      <w:rFonts w:ascii="Arial" w:eastAsia="Times New Roman" w:hAnsi="Arial" w:cs="Times New Roman"/>
      <w:b/>
      <w:bCs/>
      <w:kern w:val="32"/>
      <w:sz w:val="32"/>
      <w:szCs w:val="32"/>
    </w:rPr>
  </w:style>
  <w:style w:type="character" w:customStyle="1" w:styleId="Kop2Char">
    <w:name w:val="Kop 2 Char"/>
    <w:link w:val="Kop2"/>
    <w:rsid w:val="00E67134"/>
    <w:rPr>
      <w:rFonts w:ascii="Arial" w:eastAsia="Times New Roman" w:hAnsi="Arial" w:cs="Times New Roman"/>
      <w:b/>
      <w:bCs/>
      <w:iCs/>
      <w:sz w:val="24"/>
      <w:szCs w:val="28"/>
    </w:rPr>
  </w:style>
  <w:style w:type="character" w:customStyle="1" w:styleId="Kop3Char">
    <w:name w:val="Kop 3 Char"/>
    <w:link w:val="Kop3"/>
    <w:rsid w:val="008C5233"/>
    <w:rPr>
      <w:rFonts w:ascii="Arial" w:eastAsia="Times New Roman" w:hAnsi="Arial" w:cs="Times New Roman"/>
      <w:b/>
      <w:bCs/>
      <w:sz w:val="24"/>
      <w:szCs w:val="26"/>
      <w:u w:val="single"/>
    </w:rPr>
  </w:style>
  <w:style w:type="paragraph" w:styleId="Koptekst">
    <w:name w:val="header"/>
    <w:basedOn w:val="Standaard"/>
    <w:link w:val="KoptekstChar"/>
    <w:rsid w:val="008E65B5"/>
    <w:pPr>
      <w:tabs>
        <w:tab w:val="center" w:pos="4536"/>
        <w:tab w:val="right" w:pos="9072"/>
      </w:tabs>
    </w:pPr>
  </w:style>
  <w:style w:type="character" w:customStyle="1" w:styleId="KoptekstChar">
    <w:name w:val="Koptekst Char"/>
    <w:link w:val="Koptekst"/>
    <w:rsid w:val="008E65B5"/>
    <w:rPr>
      <w:rFonts w:ascii="Arial" w:hAnsi="Arial" w:cs="Arial"/>
    </w:rPr>
  </w:style>
  <w:style w:type="paragraph" w:styleId="Voettekst">
    <w:name w:val="footer"/>
    <w:basedOn w:val="Standaard"/>
    <w:link w:val="VoettekstChar"/>
    <w:uiPriority w:val="99"/>
    <w:rsid w:val="008E65B5"/>
    <w:pPr>
      <w:tabs>
        <w:tab w:val="center" w:pos="4536"/>
        <w:tab w:val="right" w:pos="9072"/>
      </w:tabs>
    </w:pPr>
  </w:style>
  <w:style w:type="character" w:customStyle="1" w:styleId="VoettekstChar">
    <w:name w:val="Voettekst Char"/>
    <w:link w:val="Voettekst"/>
    <w:uiPriority w:val="99"/>
    <w:rsid w:val="008E65B5"/>
    <w:rPr>
      <w:rFonts w:ascii="Arial" w:hAnsi="Arial" w:cs="Arial"/>
    </w:rPr>
  </w:style>
  <w:style w:type="character" w:customStyle="1" w:styleId="Kop4Char">
    <w:name w:val="Kop 4 Char"/>
    <w:link w:val="Kop4"/>
    <w:rsid w:val="007459C7"/>
    <w:rPr>
      <w:rFonts w:ascii="Calibri" w:eastAsia="Times New Roman" w:hAnsi="Calibri" w:cs="Times New Roman"/>
      <w:b/>
      <w:bCs/>
      <w:sz w:val="28"/>
      <w:szCs w:val="28"/>
    </w:rPr>
  </w:style>
  <w:style w:type="paragraph" w:styleId="Kopvaninhoudsopgave">
    <w:name w:val="TOC Heading"/>
    <w:basedOn w:val="Kop1"/>
    <w:next w:val="Standaard"/>
    <w:uiPriority w:val="39"/>
    <w:semiHidden/>
    <w:unhideWhenUsed/>
    <w:qFormat/>
    <w:rsid w:val="00C37A26"/>
    <w:pPr>
      <w:keepLines/>
      <w:spacing w:before="480" w:after="0" w:line="276" w:lineRule="auto"/>
      <w:outlineLvl w:val="9"/>
    </w:pPr>
    <w:rPr>
      <w:rFonts w:ascii="Cambria" w:hAnsi="Cambria"/>
      <w:color w:val="365F91"/>
      <w:kern w:val="0"/>
      <w:sz w:val="28"/>
      <w:szCs w:val="28"/>
    </w:rPr>
  </w:style>
  <w:style w:type="paragraph" w:styleId="Inhopg1">
    <w:name w:val="toc 1"/>
    <w:basedOn w:val="Standaard"/>
    <w:next w:val="Standaard"/>
    <w:autoRedefine/>
    <w:uiPriority w:val="39"/>
    <w:locked/>
    <w:rsid w:val="00C37A26"/>
  </w:style>
  <w:style w:type="paragraph" w:styleId="Inhopg2">
    <w:name w:val="toc 2"/>
    <w:basedOn w:val="Standaard"/>
    <w:next w:val="Standaard"/>
    <w:autoRedefine/>
    <w:uiPriority w:val="39"/>
    <w:locked/>
    <w:rsid w:val="00C37A26"/>
    <w:pPr>
      <w:ind w:left="200"/>
    </w:pPr>
  </w:style>
  <w:style w:type="paragraph" w:styleId="Inhopg3">
    <w:name w:val="toc 3"/>
    <w:basedOn w:val="Standaard"/>
    <w:next w:val="Standaard"/>
    <w:autoRedefine/>
    <w:uiPriority w:val="39"/>
    <w:locked/>
    <w:rsid w:val="00C37A26"/>
    <w:pPr>
      <w:ind w:left="400"/>
    </w:pPr>
  </w:style>
  <w:style w:type="character" w:styleId="Hyperlink">
    <w:name w:val="Hyperlink"/>
    <w:uiPriority w:val="99"/>
    <w:unhideWhenUsed/>
    <w:rsid w:val="00C37A26"/>
    <w:rPr>
      <w:color w:val="0000FF"/>
      <w:u w:val="single"/>
    </w:rPr>
  </w:style>
  <w:style w:type="paragraph" w:styleId="Tekstzonderopmaak">
    <w:name w:val="Plain Text"/>
    <w:basedOn w:val="Standaard"/>
    <w:link w:val="TekstzonderopmaakChar"/>
    <w:uiPriority w:val="99"/>
    <w:unhideWhenUsed/>
    <w:rsid w:val="005E08B7"/>
    <w:rPr>
      <w:rFonts w:ascii="Calibri" w:hAnsi="Calibri" w:cs="Times New Roman"/>
      <w:sz w:val="22"/>
      <w:szCs w:val="21"/>
      <w:lang w:eastAsia="en-US"/>
    </w:rPr>
  </w:style>
  <w:style w:type="character" w:customStyle="1" w:styleId="TekstzonderopmaakChar">
    <w:name w:val="Tekst zonder opmaak Char"/>
    <w:link w:val="Tekstzonderopmaak"/>
    <w:uiPriority w:val="99"/>
    <w:rsid w:val="005E08B7"/>
    <w:rPr>
      <w:sz w:val="22"/>
      <w:szCs w:val="21"/>
      <w:lang w:eastAsia="en-US"/>
    </w:rPr>
  </w:style>
  <w:style w:type="paragraph" w:styleId="Normaalweb">
    <w:name w:val="Normal (Web)"/>
    <w:basedOn w:val="Standaard"/>
    <w:uiPriority w:val="99"/>
    <w:unhideWhenUsed/>
    <w:rsid w:val="006863C5"/>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0180371">
      <w:bodyDiv w:val="1"/>
      <w:marLeft w:val="0"/>
      <w:marRight w:val="0"/>
      <w:marTop w:val="0"/>
      <w:marBottom w:val="0"/>
      <w:divBdr>
        <w:top w:val="none" w:sz="0" w:space="0" w:color="auto"/>
        <w:left w:val="none" w:sz="0" w:space="0" w:color="auto"/>
        <w:bottom w:val="none" w:sz="0" w:space="0" w:color="auto"/>
        <w:right w:val="none" w:sz="0" w:space="0" w:color="auto"/>
      </w:divBdr>
    </w:div>
    <w:div w:id="93135741">
      <w:bodyDiv w:val="1"/>
      <w:marLeft w:val="0"/>
      <w:marRight w:val="0"/>
      <w:marTop w:val="0"/>
      <w:marBottom w:val="0"/>
      <w:divBdr>
        <w:top w:val="none" w:sz="0" w:space="0" w:color="auto"/>
        <w:left w:val="none" w:sz="0" w:space="0" w:color="auto"/>
        <w:bottom w:val="none" w:sz="0" w:space="0" w:color="auto"/>
        <w:right w:val="none" w:sz="0" w:space="0" w:color="auto"/>
      </w:divBdr>
    </w:div>
    <w:div w:id="100609887">
      <w:bodyDiv w:val="1"/>
      <w:marLeft w:val="0"/>
      <w:marRight w:val="0"/>
      <w:marTop w:val="0"/>
      <w:marBottom w:val="0"/>
      <w:divBdr>
        <w:top w:val="none" w:sz="0" w:space="0" w:color="auto"/>
        <w:left w:val="none" w:sz="0" w:space="0" w:color="auto"/>
        <w:bottom w:val="none" w:sz="0" w:space="0" w:color="auto"/>
        <w:right w:val="none" w:sz="0" w:space="0" w:color="auto"/>
      </w:divBdr>
    </w:div>
    <w:div w:id="138768017">
      <w:bodyDiv w:val="1"/>
      <w:marLeft w:val="0"/>
      <w:marRight w:val="0"/>
      <w:marTop w:val="0"/>
      <w:marBottom w:val="0"/>
      <w:divBdr>
        <w:top w:val="none" w:sz="0" w:space="0" w:color="auto"/>
        <w:left w:val="none" w:sz="0" w:space="0" w:color="auto"/>
        <w:bottom w:val="none" w:sz="0" w:space="0" w:color="auto"/>
        <w:right w:val="none" w:sz="0" w:space="0" w:color="auto"/>
      </w:divBdr>
    </w:div>
    <w:div w:id="150560222">
      <w:bodyDiv w:val="1"/>
      <w:marLeft w:val="0"/>
      <w:marRight w:val="0"/>
      <w:marTop w:val="0"/>
      <w:marBottom w:val="0"/>
      <w:divBdr>
        <w:top w:val="none" w:sz="0" w:space="0" w:color="auto"/>
        <w:left w:val="none" w:sz="0" w:space="0" w:color="auto"/>
        <w:bottom w:val="none" w:sz="0" w:space="0" w:color="auto"/>
        <w:right w:val="none" w:sz="0" w:space="0" w:color="auto"/>
      </w:divBdr>
    </w:div>
    <w:div w:id="159390044">
      <w:bodyDiv w:val="1"/>
      <w:marLeft w:val="0"/>
      <w:marRight w:val="0"/>
      <w:marTop w:val="0"/>
      <w:marBottom w:val="0"/>
      <w:divBdr>
        <w:top w:val="none" w:sz="0" w:space="0" w:color="auto"/>
        <w:left w:val="none" w:sz="0" w:space="0" w:color="auto"/>
        <w:bottom w:val="none" w:sz="0" w:space="0" w:color="auto"/>
        <w:right w:val="none" w:sz="0" w:space="0" w:color="auto"/>
      </w:divBdr>
    </w:div>
    <w:div w:id="167797593">
      <w:bodyDiv w:val="1"/>
      <w:marLeft w:val="0"/>
      <w:marRight w:val="0"/>
      <w:marTop w:val="0"/>
      <w:marBottom w:val="0"/>
      <w:divBdr>
        <w:top w:val="none" w:sz="0" w:space="0" w:color="auto"/>
        <w:left w:val="none" w:sz="0" w:space="0" w:color="auto"/>
        <w:bottom w:val="none" w:sz="0" w:space="0" w:color="auto"/>
        <w:right w:val="none" w:sz="0" w:space="0" w:color="auto"/>
      </w:divBdr>
    </w:div>
    <w:div w:id="259604056">
      <w:bodyDiv w:val="1"/>
      <w:marLeft w:val="0"/>
      <w:marRight w:val="0"/>
      <w:marTop w:val="0"/>
      <w:marBottom w:val="0"/>
      <w:divBdr>
        <w:top w:val="none" w:sz="0" w:space="0" w:color="auto"/>
        <w:left w:val="none" w:sz="0" w:space="0" w:color="auto"/>
        <w:bottom w:val="none" w:sz="0" w:space="0" w:color="auto"/>
        <w:right w:val="none" w:sz="0" w:space="0" w:color="auto"/>
      </w:divBdr>
    </w:div>
    <w:div w:id="457186801">
      <w:bodyDiv w:val="1"/>
      <w:marLeft w:val="0"/>
      <w:marRight w:val="0"/>
      <w:marTop w:val="0"/>
      <w:marBottom w:val="0"/>
      <w:divBdr>
        <w:top w:val="none" w:sz="0" w:space="0" w:color="auto"/>
        <w:left w:val="none" w:sz="0" w:space="0" w:color="auto"/>
        <w:bottom w:val="none" w:sz="0" w:space="0" w:color="auto"/>
        <w:right w:val="none" w:sz="0" w:space="0" w:color="auto"/>
      </w:divBdr>
    </w:div>
    <w:div w:id="554393010">
      <w:bodyDiv w:val="1"/>
      <w:marLeft w:val="0"/>
      <w:marRight w:val="0"/>
      <w:marTop w:val="0"/>
      <w:marBottom w:val="0"/>
      <w:divBdr>
        <w:top w:val="none" w:sz="0" w:space="0" w:color="auto"/>
        <w:left w:val="none" w:sz="0" w:space="0" w:color="auto"/>
        <w:bottom w:val="none" w:sz="0" w:space="0" w:color="auto"/>
        <w:right w:val="none" w:sz="0" w:space="0" w:color="auto"/>
      </w:divBdr>
    </w:div>
    <w:div w:id="656884601">
      <w:bodyDiv w:val="1"/>
      <w:marLeft w:val="0"/>
      <w:marRight w:val="0"/>
      <w:marTop w:val="0"/>
      <w:marBottom w:val="0"/>
      <w:divBdr>
        <w:top w:val="none" w:sz="0" w:space="0" w:color="auto"/>
        <w:left w:val="none" w:sz="0" w:space="0" w:color="auto"/>
        <w:bottom w:val="none" w:sz="0" w:space="0" w:color="auto"/>
        <w:right w:val="none" w:sz="0" w:space="0" w:color="auto"/>
      </w:divBdr>
    </w:div>
    <w:div w:id="724108966">
      <w:bodyDiv w:val="1"/>
      <w:marLeft w:val="0"/>
      <w:marRight w:val="0"/>
      <w:marTop w:val="0"/>
      <w:marBottom w:val="0"/>
      <w:divBdr>
        <w:top w:val="none" w:sz="0" w:space="0" w:color="auto"/>
        <w:left w:val="none" w:sz="0" w:space="0" w:color="auto"/>
        <w:bottom w:val="none" w:sz="0" w:space="0" w:color="auto"/>
        <w:right w:val="none" w:sz="0" w:space="0" w:color="auto"/>
      </w:divBdr>
    </w:div>
    <w:div w:id="739983779">
      <w:bodyDiv w:val="1"/>
      <w:marLeft w:val="0"/>
      <w:marRight w:val="0"/>
      <w:marTop w:val="0"/>
      <w:marBottom w:val="0"/>
      <w:divBdr>
        <w:top w:val="none" w:sz="0" w:space="0" w:color="auto"/>
        <w:left w:val="none" w:sz="0" w:space="0" w:color="auto"/>
        <w:bottom w:val="none" w:sz="0" w:space="0" w:color="auto"/>
        <w:right w:val="none" w:sz="0" w:space="0" w:color="auto"/>
      </w:divBdr>
    </w:div>
    <w:div w:id="812991371">
      <w:bodyDiv w:val="1"/>
      <w:marLeft w:val="0"/>
      <w:marRight w:val="0"/>
      <w:marTop w:val="0"/>
      <w:marBottom w:val="0"/>
      <w:divBdr>
        <w:top w:val="none" w:sz="0" w:space="0" w:color="auto"/>
        <w:left w:val="none" w:sz="0" w:space="0" w:color="auto"/>
        <w:bottom w:val="none" w:sz="0" w:space="0" w:color="auto"/>
        <w:right w:val="none" w:sz="0" w:space="0" w:color="auto"/>
      </w:divBdr>
    </w:div>
    <w:div w:id="820804495">
      <w:bodyDiv w:val="1"/>
      <w:marLeft w:val="0"/>
      <w:marRight w:val="0"/>
      <w:marTop w:val="0"/>
      <w:marBottom w:val="0"/>
      <w:divBdr>
        <w:top w:val="none" w:sz="0" w:space="0" w:color="auto"/>
        <w:left w:val="none" w:sz="0" w:space="0" w:color="auto"/>
        <w:bottom w:val="none" w:sz="0" w:space="0" w:color="auto"/>
        <w:right w:val="none" w:sz="0" w:space="0" w:color="auto"/>
      </w:divBdr>
    </w:div>
    <w:div w:id="882981669">
      <w:bodyDiv w:val="1"/>
      <w:marLeft w:val="0"/>
      <w:marRight w:val="0"/>
      <w:marTop w:val="0"/>
      <w:marBottom w:val="0"/>
      <w:divBdr>
        <w:top w:val="none" w:sz="0" w:space="0" w:color="auto"/>
        <w:left w:val="none" w:sz="0" w:space="0" w:color="auto"/>
        <w:bottom w:val="none" w:sz="0" w:space="0" w:color="auto"/>
        <w:right w:val="none" w:sz="0" w:space="0" w:color="auto"/>
      </w:divBdr>
    </w:div>
    <w:div w:id="920020783">
      <w:bodyDiv w:val="1"/>
      <w:marLeft w:val="0"/>
      <w:marRight w:val="0"/>
      <w:marTop w:val="0"/>
      <w:marBottom w:val="0"/>
      <w:divBdr>
        <w:top w:val="none" w:sz="0" w:space="0" w:color="auto"/>
        <w:left w:val="none" w:sz="0" w:space="0" w:color="auto"/>
        <w:bottom w:val="none" w:sz="0" w:space="0" w:color="auto"/>
        <w:right w:val="none" w:sz="0" w:space="0" w:color="auto"/>
      </w:divBdr>
    </w:div>
    <w:div w:id="936788425">
      <w:bodyDiv w:val="1"/>
      <w:marLeft w:val="0"/>
      <w:marRight w:val="0"/>
      <w:marTop w:val="0"/>
      <w:marBottom w:val="0"/>
      <w:divBdr>
        <w:top w:val="none" w:sz="0" w:space="0" w:color="auto"/>
        <w:left w:val="none" w:sz="0" w:space="0" w:color="auto"/>
        <w:bottom w:val="none" w:sz="0" w:space="0" w:color="auto"/>
        <w:right w:val="none" w:sz="0" w:space="0" w:color="auto"/>
      </w:divBdr>
    </w:div>
    <w:div w:id="1079405902">
      <w:bodyDiv w:val="1"/>
      <w:marLeft w:val="0"/>
      <w:marRight w:val="0"/>
      <w:marTop w:val="0"/>
      <w:marBottom w:val="0"/>
      <w:divBdr>
        <w:top w:val="none" w:sz="0" w:space="0" w:color="auto"/>
        <w:left w:val="none" w:sz="0" w:space="0" w:color="auto"/>
        <w:bottom w:val="none" w:sz="0" w:space="0" w:color="auto"/>
        <w:right w:val="none" w:sz="0" w:space="0" w:color="auto"/>
      </w:divBdr>
    </w:div>
    <w:div w:id="1097020340">
      <w:bodyDiv w:val="1"/>
      <w:marLeft w:val="0"/>
      <w:marRight w:val="0"/>
      <w:marTop w:val="0"/>
      <w:marBottom w:val="0"/>
      <w:divBdr>
        <w:top w:val="none" w:sz="0" w:space="0" w:color="auto"/>
        <w:left w:val="none" w:sz="0" w:space="0" w:color="auto"/>
        <w:bottom w:val="none" w:sz="0" w:space="0" w:color="auto"/>
        <w:right w:val="none" w:sz="0" w:space="0" w:color="auto"/>
      </w:divBdr>
    </w:div>
    <w:div w:id="1145969376">
      <w:bodyDiv w:val="1"/>
      <w:marLeft w:val="0"/>
      <w:marRight w:val="0"/>
      <w:marTop w:val="0"/>
      <w:marBottom w:val="0"/>
      <w:divBdr>
        <w:top w:val="none" w:sz="0" w:space="0" w:color="auto"/>
        <w:left w:val="none" w:sz="0" w:space="0" w:color="auto"/>
        <w:bottom w:val="none" w:sz="0" w:space="0" w:color="auto"/>
        <w:right w:val="none" w:sz="0" w:space="0" w:color="auto"/>
      </w:divBdr>
    </w:div>
    <w:div w:id="1166475389">
      <w:bodyDiv w:val="1"/>
      <w:marLeft w:val="0"/>
      <w:marRight w:val="0"/>
      <w:marTop w:val="0"/>
      <w:marBottom w:val="0"/>
      <w:divBdr>
        <w:top w:val="none" w:sz="0" w:space="0" w:color="auto"/>
        <w:left w:val="none" w:sz="0" w:space="0" w:color="auto"/>
        <w:bottom w:val="none" w:sz="0" w:space="0" w:color="auto"/>
        <w:right w:val="none" w:sz="0" w:space="0" w:color="auto"/>
      </w:divBdr>
    </w:div>
    <w:div w:id="1209106191">
      <w:bodyDiv w:val="1"/>
      <w:marLeft w:val="0"/>
      <w:marRight w:val="0"/>
      <w:marTop w:val="0"/>
      <w:marBottom w:val="0"/>
      <w:divBdr>
        <w:top w:val="none" w:sz="0" w:space="0" w:color="auto"/>
        <w:left w:val="none" w:sz="0" w:space="0" w:color="auto"/>
        <w:bottom w:val="none" w:sz="0" w:space="0" w:color="auto"/>
        <w:right w:val="none" w:sz="0" w:space="0" w:color="auto"/>
      </w:divBdr>
    </w:div>
    <w:div w:id="1509715235">
      <w:bodyDiv w:val="1"/>
      <w:marLeft w:val="0"/>
      <w:marRight w:val="0"/>
      <w:marTop w:val="0"/>
      <w:marBottom w:val="0"/>
      <w:divBdr>
        <w:top w:val="none" w:sz="0" w:space="0" w:color="auto"/>
        <w:left w:val="none" w:sz="0" w:space="0" w:color="auto"/>
        <w:bottom w:val="none" w:sz="0" w:space="0" w:color="auto"/>
        <w:right w:val="none" w:sz="0" w:space="0" w:color="auto"/>
      </w:divBdr>
    </w:div>
    <w:div w:id="1677152823">
      <w:bodyDiv w:val="1"/>
      <w:marLeft w:val="0"/>
      <w:marRight w:val="0"/>
      <w:marTop w:val="0"/>
      <w:marBottom w:val="0"/>
      <w:divBdr>
        <w:top w:val="none" w:sz="0" w:space="0" w:color="auto"/>
        <w:left w:val="none" w:sz="0" w:space="0" w:color="auto"/>
        <w:bottom w:val="none" w:sz="0" w:space="0" w:color="auto"/>
        <w:right w:val="none" w:sz="0" w:space="0" w:color="auto"/>
      </w:divBdr>
    </w:div>
    <w:div w:id="1699357243">
      <w:bodyDiv w:val="1"/>
      <w:marLeft w:val="0"/>
      <w:marRight w:val="0"/>
      <w:marTop w:val="0"/>
      <w:marBottom w:val="0"/>
      <w:divBdr>
        <w:top w:val="none" w:sz="0" w:space="0" w:color="auto"/>
        <w:left w:val="none" w:sz="0" w:space="0" w:color="auto"/>
        <w:bottom w:val="none" w:sz="0" w:space="0" w:color="auto"/>
        <w:right w:val="none" w:sz="0" w:space="0" w:color="auto"/>
      </w:divBdr>
    </w:div>
    <w:div w:id="1856726161">
      <w:bodyDiv w:val="1"/>
      <w:marLeft w:val="0"/>
      <w:marRight w:val="0"/>
      <w:marTop w:val="0"/>
      <w:marBottom w:val="0"/>
      <w:divBdr>
        <w:top w:val="none" w:sz="0" w:space="0" w:color="auto"/>
        <w:left w:val="none" w:sz="0" w:space="0" w:color="auto"/>
        <w:bottom w:val="none" w:sz="0" w:space="0" w:color="auto"/>
        <w:right w:val="none" w:sz="0" w:space="0" w:color="auto"/>
      </w:divBdr>
    </w:div>
    <w:div w:id="1858350883">
      <w:bodyDiv w:val="1"/>
      <w:marLeft w:val="0"/>
      <w:marRight w:val="0"/>
      <w:marTop w:val="0"/>
      <w:marBottom w:val="0"/>
      <w:divBdr>
        <w:top w:val="none" w:sz="0" w:space="0" w:color="auto"/>
        <w:left w:val="none" w:sz="0" w:space="0" w:color="auto"/>
        <w:bottom w:val="none" w:sz="0" w:space="0" w:color="auto"/>
        <w:right w:val="none" w:sz="0" w:space="0" w:color="auto"/>
      </w:divBdr>
    </w:div>
    <w:div w:id="1964648042">
      <w:bodyDiv w:val="1"/>
      <w:marLeft w:val="0"/>
      <w:marRight w:val="0"/>
      <w:marTop w:val="0"/>
      <w:marBottom w:val="0"/>
      <w:divBdr>
        <w:top w:val="none" w:sz="0" w:space="0" w:color="auto"/>
        <w:left w:val="none" w:sz="0" w:space="0" w:color="auto"/>
        <w:bottom w:val="none" w:sz="0" w:space="0" w:color="auto"/>
        <w:right w:val="none" w:sz="0" w:space="0" w:color="auto"/>
      </w:divBdr>
    </w:div>
    <w:div w:id="2010399376">
      <w:bodyDiv w:val="1"/>
      <w:marLeft w:val="0"/>
      <w:marRight w:val="0"/>
      <w:marTop w:val="0"/>
      <w:marBottom w:val="0"/>
      <w:divBdr>
        <w:top w:val="none" w:sz="0" w:space="0" w:color="auto"/>
        <w:left w:val="none" w:sz="0" w:space="0" w:color="auto"/>
        <w:bottom w:val="none" w:sz="0" w:space="0" w:color="auto"/>
        <w:right w:val="none" w:sz="0" w:space="0" w:color="auto"/>
      </w:divBdr>
    </w:div>
    <w:div w:id="2019691917">
      <w:bodyDiv w:val="1"/>
      <w:marLeft w:val="0"/>
      <w:marRight w:val="0"/>
      <w:marTop w:val="0"/>
      <w:marBottom w:val="0"/>
      <w:divBdr>
        <w:top w:val="none" w:sz="0" w:space="0" w:color="auto"/>
        <w:left w:val="none" w:sz="0" w:space="0" w:color="auto"/>
        <w:bottom w:val="none" w:sz="0" w:space="0" w:color="auto"/>
        <w:right w:val="none" w:sz="0" w:space="0" w:color="auto"/>
      </w:divBdr>
      <w:divsChild>
        <w:div w:id="150634388">
          <w:marLeft w:val="0"/>
          <w:marRight w:val="0"/>
          <w:marTop w:val="0"/>
          <w:marBottom w:val="0"/>
          <w:divBdr>
            <w:top w:val="none" w:sz="0" w:space="0" w:color="auto"/>
            <w:left w:val="none" w:sz="0" w:space="0" w:color="auto"/>
            <w:bottom w:val="none" w:sz="0" w:space="0" w:color="auto"/>
            <w:right w:val="none" w:sz="0" w:space="0" w:color="auto"/>
          </w:divBdr>
          <w:divsChild>
            <w:div w:id="770469125">
              <w:marLeft w:val="0"/>
              <w:marRight w:val="0"/>
              <w:marTop w:val="0"/>
              <w:marBottom w:val="0"/>
              <w:divBdr>
                <w:top w:val="none" w:sz="0" w:space="0" w:color="auto"/>
                <w:left w:val="none" w:sz="0" w:space="0" w:color="auto"/>
                <w:bottom w:val="none" w:sz="0" w:space="0" w:color="auto"/>
                <w:right w:val="none" w:sz="0" w:space="0" w:color="auto"/>
              </w:divBdr>
              <w:divsChild>
                <w:div w:id="2074036877">
                  <w:marLeft w:val="0"/>
                  <w:marRight w:val="0"/>
                  <w:marTop w:val="0"/>
                  <w:marBottom w:val="0"/>
                  <w:divBdr>
                    <w:top w:val="none" w:sz="0" w:space="0" w:color="auto"/>
                    <w:left w:val="none" w:sz="0" w:space="0" w:color="auto"/>
                    <w:bottom w:val="none" w:sz="0" w:space="0" w:color="auto"/>
                    <w:right w:val="none" w:sz="0" w:space="0" w:color="auto"/>
                  </w:divBdr>
                  <w:divsChild>
                    <w:div w:id="2123959383">
                      <w:marLeft w:val="0"/>
                      <w:marRight w:val="0"/>
                      <w:marTop w:val="0"/>
                      <w:marBottom w:val="0"/>
                      <w:divBdr>
                        <w:top w:val="none" w:sz="0" w:space="0" w:color="auto"/>
                        <w:left w:val="none" w:sz="0" w:space="0" w:color="auto"/>
                        <w:bottom w:val="none" w:sz="0" w:space="0" w:color="auto"/>
                        <w:right w:val="none" w:sz="0" w:space="0" w:color="auto"/>
                      </w:divBdr>
                      <w:divsChild>
                        <w:div w:id="925190179">
                          <w:marLeft w:val="0"/>
                          <w:marRight w:val="0"/>
                          <w:marTop w:val="0"/>
                          <w:marBottom w:val="0"/>
                          <w:divBdr>
                            <w:top w:val="none" w:sz="0" w:space="0" w:color="auto"/>
                            <w:left w:val="none" w:sz="0" w:space="0" w:color="auto"/>
                            <w:bottom w:val="none" w:sz="0" w:space="0" w:color="auto"/>
                            <w:right w:val="none" w:sz="0" w:space="0" w:color="auto"/>
                          </w:divBdr>
                          <w:divsChild>
                            <w:div w:id="1504659522">
                              <w:marLeft w:val="0"/>
                              <w:marRight w:val="0"/>
                              <w:marTop w:val="0"/>
                              <w:marBottom w:val="0"/>
                              <w:divBdr>
                                <w:top w:val="none" w:sz="0" w:space="0" w:color="auto"/>
                                <w:left w:val="none" w:sz="0" w:space="0" w:color="auto"/>
                                <w:bottom w:val="none" w:sz="0" w:space="0" w:color="auto"/>
                                <w:right w:val="none" w:sz="0" w:space="0" w:color="auto"/>
                              </w:divBdr>
                              <w:divsChild>
                                <w:div w:id="597908312">
                                  <w:marLeft w:val="0"/>
                                  <w:marRight w:val="0"/>
                                  <w:marTop w:val="0"/>
                                  <w:marBottom w:val="0"/>
                                  <w:divBdr>
                                    <w:top w:val="none" w:sz="0" w:space="0" w:color="auto"/>
                                    <w:left w:val="none" w:sz="0" w:space="0" w:color="auto"/>
                                    <w:bottom w:val="none" w:sz="0" w:space="0" w:color="auto"/>
                                    <w:right w:val="none" w:sz="0" w:space="0" w:color="auto"/>
                                  </w:divBdr>
                                  <w:divsChild>
                                    <w:div w:id="1554998000">
                                      <w:marLeft w:val="0"/>
                                      <w:marRight w:val="0"/>
                                      <w:marTop w:val="0"/>
                                      <w:marBottom w:val="0"/>
                                      <w:divBdr>
                                        <w:top w:val="none" w:sz="0" w:space="0" w:color="auto"/>
                                        <w:left w:val="none" w:sz="0" w:space="0" w:color="auto"/>
                                        <w:bottom w:val="none" w:sz="0" w:space="0" w:color="auto"/>
                                        <w:right w:val="none" w:sz="0" w:space="0" w:color="auto"/>
                                      </w:divBdr>
                                      <w:divsChild>
                                        <w:div w:id="1338264233">
                                          <w:marLeft w:val="0"/>
                                          <w:marRight w:val="0"/>
                                          <w:marTop w:val="0"/>
                                          <w:marBottom w:val="0"/>
                                          <w:divBdr>
                                            <w:top w:val="none" w:sz="0" w:space="0" w:color="auto"/>
                                            <w:left w:val="none" w:sz="0" w:space="0" w:color="auto"/>
                                            <w:bottom w:val="none" w:sz="0" w:space="0" w:color="auto"/>
                                            <w:right w:val="none" w:sz="0" w:space="0" w:color="auto"/>
                                          </w:divBdr>
                                          <w:divsChild>
                                            <w:div w:id="281764396">
                                              <w:marLeft w:val="0"/>
                                              <w:marRight w:val="0"/>
                                              <w:marTop w:val="0"/>
                                              <w:marBottom w:val="0"/>
                                              <w:divBdr>
                                                <w:top w:val="none" w:sz="0" w:space="0" w:color="auto"/>
                                                <w:left w:val="none" w:sz="0" w:space="0" w:color="auto"/>
                                                <w:bottom w:val="none" w:sz="0" w:space="0" w:color="auto"/>
                                                <w:right w:val="none" w:sz="0" w:space="0" w:color="auto"/>
                                              </w:divBdr>
                                              <w:divsChild>
                                                <w:div w:id="1166555057">
                                                  <w:marLeft w:val="0"/>
                                                  <w:marRight w:val="0"/>
                                                  <w:marTop w:val="0"/>
                                                  <w:marBottom w:val="0"/>
                                                  <w:divBdr>
                                                    <w:top w:val="none" w:sz="0" w:space="0" w:color="auto"/>
                                                    <w:left w:val="none" w:sz="0" w:space="0" w:color="auto"/>
                                                    <w:bottom w:val="none" w:sz="0" w:space="0" w:color="auto"/>
                                                    <w:right w:val="none" w:sz="0" w:space="0" w:color="auto"/>
                                                  </w:divBdr>
                                                  <w:divsChild>
                                                    <w:div w:id="1111973950">
                                                      <w:marLeft w:val="0"/>
                                                      <w:marRight w:val="0"/>
                                                      <w:marTop w:val="0"/>
                                                      <w:marBottom w:val="0"/>
                                                      <w:divBdr>
                                                        <w:top w:val="none" w:sz="0" w:space="0" w:color="auto"/>
                                                        <w:left w:val="none" w:sz="0" w:space="0" w:color="auto"/>
                                                        <w:bottom w:val="none" w:sz="0" w:space="0" w:color="auto"/>
                                                        <w:right w:val="none" w:sz="0" w:space="0" w:color="auto"/>
                                                      </w:divBdr>
                                                      <w:divsChild>
                                                        <w:div w:id="1008295224">
                                                          <w:marLeft w:val="0"/>
                                                          <w:marRight w:val="0"/>
                                                          <w:marTop w:val="0"/>
                                                          <w:marBottom w:val="0"/>
                                                          <w:divBdr>
                                                            <w:top w:val="none" w:sz="0" w:space="0" w:color="auto"/>
                                                            <w:left w:val="none" w:sz="0" w:space="0" w:color="auto"/>
                                                            <w:bottom w:val="none" w:sz="0" w:space="0" w:color="auto"/>
                                                            <w:right w:val="none" w:sz="0" w:space="0" w:color="auto"/>
                                                          </w:divBdr>
                                                          <w:divsChild>
                                                            <w:div w:id="1766270129">
                                                              <w:marLeft w:val="0"/>
                                                              <w:marRight w:val="150"/>
                                                              <w:marTop w:val="0"/>
                                                              <w:marBottom w:val="150"/>
                                                              <w:divBdr>
                                                                <w:top w:val="none" w:sz="0" w:space="0" w:color="auto"/>
                                                                <w:left w:val="none" w:sz="0" w:space="0" w:color="auto"/>
                                                                <w:bottom w:val="none" w:sz="0" w:space="0" w:color="auto"/>
                                                                <w:right w:val="none" w:sz="0" w:space="0" w:color="auto"/>
                                                              </w:divBdr>
                                                              <w:divsChild>
                                                                <w:div w:id="77483520">
                                                                  <w:marLeft w:val="0"/>
                                                                  <w:marRight w:val="0"/>
                                                                  <w:marTop w:val="0"/>
                                                                  <w:marBottom w:val="0"/>
                                                                  <w:divBdr>
                                                                    <w:top w:val="none" w:sz="0" w:space="0" w:color="auto"/>
                                                                    <w:left w:val="none" w:sz="0" w:space="0" w:color="auto"/>
                                                                    <w:bottom w:val="none" w:sz="0" w:space="0" w:color="auto"/>
                                                                    <w:right w:val="none" w:sz="0" w:space="0" w:color="auto"/>
                                                                  </w:divBdr>
                                                                  <w:divsChild>
                                                                    <w:div w:id="230118913">
                                                                      <w:marLeft w:val="0"/>
                                                                      <w:marRight w:val="0"/>
                                                                      <w:marTop w:val="0"/>
                                                                      <w:marBottom w:val="0"/>
                                                                      <w:divBdr>
                                                                        <w:top w:val="none" w:sz="0" w:space="0" w:color="auto"/>
                                                                        <w:left w:val="none" w:sz="0" w:space="0" w:color="auto"/>
                                                                        <w:bottom w:val="none" w:sz="0" w:space="0" w:color="auto"/>
                                                                        <w:right w:val="none" w:sz="0" w:space="0" w:color="auto"/>
                                                                      </w:divBdr>
                                                                      <w:divsChild>
                                                                        <w:div w:id="949705915">
                                                                          <w:marLeft w:val="0"/>
                                                                          <w:marRight w:val="0"/>
                                                                          <w:marTop w:val="0"/>
                                                                          <w:marBottom w:val="0"/>
                                                                          <w:divBdr>
                                                                            <w:top w:val="none" w:sz="0" w:space="0" w:color="auto"/>
                                                                            <w:left w:val="none" w:sz="0" w:space="0" w:color="auto"/>
                                                                            <w:bottom w:val="none" w:sz="0" w:space="0" w:color="auto"/>
                                                                            <w:right w:val="none" w:sz="0" w:space="0" w:color="auto"/>
                                                                          </w:divBdr>
                                                                          <w:divsChild>
                                                                            <w:div w:id="1884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93093">
      <w:bodyDiv w:val="1"/>
      <w:marLeft w:val="0"/>
      <w:marRight w:val="0"/>
      <w:marTop w:val="0"/>
      <w:marBottom w:val="0"/>
      <w:divBdr>
        <w:top w:val="none" w:sz="0" w:space="0" w:color="auto"/>
        <w:left w:val="none" w:sz="0" w:space="0" w:color="auto"/>
        <w:bottom w:val="none" w:sz="0" w:space="0" w:color="auto"/>
        <w:right w:val="none" w:sz="0" w:space="0" w:color="auto"/>
      </w:divBdr>
    </w:div>
    <w:div w:id="2070152162">
      <w:bodyDiv w:val="1"/>
      <w:marLeft w:val="0"/>
      <w:marRight w:val="0"/>
      <w:marTop w:val="0"/>
      <w:marBottom w:val="0"/>
      <w:divBdr>
        <w:top w:val="none" w:sz="0" w:space="0" w:color="auto"/>
        <w:left w:val="none" w:sz="0" w:space="0" w:color="auto"/>
        <w:bottom w:val="none" w:sz="0" w:space="0" w:color="auto"/>
        <w:right w:val="none" w:sz="0" w:space="0" w:color="auto"/>
      </w:divBdr>
    </w:div>
    <w:div w:id="20853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57BB-C0A6-451B-B70F-13D26BA4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12764</Characters>
  <Application>Microsoft Office Word</Application>
  <DocSecurity>4</DocSecurity>
  <Lines>911</Lines>
  <Paragraphs>843</Paragraphs>
  <ScaleCrop>false</ScaleCrop>
  <HeadingPairs>
    <vt:vector size="2" baseType="variant">
      <vt:variant>
        <vt:lpstr>Titel</vt:lpstr>
      </vt:variant>
      <vt:variant>
        <vt:i4>1</vt:i4>
      </vt:variant>
    </vt:vector>
  </HeadingPairs>
  <TitlesOfParts>
    <vt:vector size="1" baseType="lpstr">
      <vt:lpstr>Onderzoek kostendekkendheid leges 2012</vt:lpstr>
    </vt:vector>
  </TitlesOfParts>
  <Company>Hollands Kroon</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kostendekkendheid leges 2012</dc:title>
  <dc:creator>Vriend</dc:creator>
  <cp:lastModifiedBy>Peter Bouwmans</cp:lastModifiedBy>
  <cp:revision>2</cp:revision>
  <cp:lastPrinted>2019-03-12T15:43:00Z</cp:lastPrinted>
  <dcterms:created xsi:type="dcterms:W3CDTF">2019-03-19T08:08:00Z</dcterms:created>
  <dcterms:modified xsi:type="dcterms:W3CDTF">2019-03-19T08:08:00Z</dcterms:modified>
</cp:coreProperties>
</file>